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spacing w:before="0" w:beforeAutospacing="0" w:after="150" w:afterAutospacing="0" w:line="315" w:lineRule="atLeast"/>
        <w:ind w:left="0" w:firstLine="0"/>
        <w:jc w:val="center"/>
        <w:rPr>
          <w:rFonts w:hint="eastAsia" w:ascii="黑体" w:hAnsi="黑体" w:eastAsia="黑体" w:cs="黑体"/>
          <w:i w:val="0"/>
          <w:iCs w:val="0"/>
          <w:caps w:val="0"/>
          <w:color w:val="000000"/>
          <w:spacing w:val="0"/>
          <w:sz w:val="44"/>
          <w:szCs w:val="44"/>
        </w:rPr>
      </w:pPr>
    </w:p>
    <w:p>
      <w:pPr>
        <w:pStyle w:val="2"/>
        <w:keepNext w:val="0"/>
        <w:keepLines w:val="0"/>
        <w:widowControl/>
        <w:suppressLineNumbers w:val="0"/>
        <w:spacing w:before="0" w:beforeAutospacing="0" w:after="150" w:afterAutospacing="0" w:line="315" w:lineRule="atLeast"/>
        <w:ind w:left="0" w:firstLine="0"/>
        <w:jc w:val="center"/>
        <w:rPr>
          <w:rFonts w:hint="eastAsia" w:ascii="黑体" w:hAnsi="黑体" w:eastAsia="黑体" w:cs="黑体"/>
          <w:i w:val="0"/>
          <w:iCs w:val="0"/>
          <w:caps w:val="0"/>
          <w:color w:val="000000"/>
          <w:spacing w:val="0"/>
          <w:sz w:val="44"/>
          <w:szCs w:val="44"/>
        </w:rPr>
      </w:pPr>
      <w:r>
        <w:rPr>
          <w:rFonts w:hint="eastAsia" w:ascii="黑体" w:hAnsi="黑体" w:eastAsia="黑体" w:cs="黑体"/>
          <w:i w:val="0"/>
          <w:iCs w:val="0"/>
          <w:caps w:val="0"/>
          <w:color w:val="000000"/>
          <w:spacing w:val="0"/>
          <w:sz w:val="44"/>
          <w:szCs w:val="44"/>
        </w:rPr>
        <w:t>省人民政府办公厅印发《关于推动私募股权投资行业高质量发展的若干措施》的通知</w:t>
      </w:r>
    </w:p>
    <w:p>
      <w:pPr>
        <w:pStyle w:val="2"/>
        <w:keepNext w:val="0"/>
        <w:keepLines w:val="0"/>
        <w:widowControl/>
        <w:suppressLineNumbers w:val="0"/>
        <w:spacing w:before="0" w:beforeAutospacing="0" w:after="150" w:afterAutospacing="0" w:line="315" w:lineRule="atLeast"/>
        <w:ind w:left="0" w:firstLine="0"/>
        <w:jc w:val="left"/>
        <w:rPr>
          <w:rFonts w:ascii="Arial" w:hAnsi="Arial" w:eastAsia="宋体" w:cs="Arial"/>
          <w:i w:val="0"/>
          <w:iCs w:val="0"/>
          <w:caps w:val="0"/>
          <w:color w:val="000000"/>
          <w:spacing w:val="0"/>
          <w:sz w:val="19"/>
          <w:szCs w:val="19"/>
        </w:rPr>
      </w:pPr>
    </w:p>
    <w:p>
      <w:pPr>
        <w:pStyle w:val="2"/>
        <w:keepNext w:val="0"/>
        <w:keepLines w:val="0"/>
        <w:widowControl/>
        <w:suppressLineNumbers w:val="0"/>
        <w:spacing w:before="0" w:beforeAutospacing="0" w:after="150" w:afterAutospacing="0" w:line="315" w:lineRule="atLeast"/>
        <w:ind w:left="0" w:firstLine="0"/>
        <w:jc w:val="left"/>
        <w:rPr>
          <w:rFonts w:ascii="Arial" w:hAnsi="Arial" w:eastAsia="宋体" w:cs="Arial"/>
          <w:i w:val="0"/>
          <w:iCs w:val="0"/>
          <w:caps w:val="0"/>
          <w:color w:val="000000"/>
          <w:spacing w:val="0"/>
          <w:sz w:val="19"/>
          <w:szCs w:val="19"/>
        </w:rPr>
      </w:pPr>
    </w:p>
    <w:p>
      <w:pPr>
        <w:pStyle w:val="2"/>
        <w:keepNext w:val="0"/>
        <w:keepLines w:val="0"/>
        <w:widowControl/>
        <w:suppressLineNumbers w:val="0"/>
        <w:spacing w:before="0" w:beforeAutospacing="0" w:after="150" w:afterAutospacing="0" w:line="315" w:lineRule="atLeast"/>
        <w:ind w:left="0" w:firstLine="0"/>
        <w:jc w:val="left"/>
        <w:rPr>
          <w:rFonts w:hint="eastAsia" w:ascii="宋体" w:hAnsi="宋体" w:eastAsia="宋体" w:cs="宋体"/>
          <w:i w:val="0"/>
          <w:iCs w:val="0"/>
          <w:caps w:val="0"/>
          <w:color w:val="000000"/>
          <w:spacing w:val="0"/>
          <w:sz w:val="19"/>
          <w:szCs w:val="19"/>
        </w:rPr>
      </w:pPr>
      <w:r>
        <w:rPr>
          <w:rFonts w:ascii="Arial" w:hAnsi="Arial" w:eastAsia="宋体" w:cs="Arial"/>
          <w:i w:val="0"/>
          <w:iCs w:val="0"/>
          <w:caps w:val="0"/>
          <w:color w:val="000000"/>
          <w:spacing w:val="0"/>
          <w:sz w:val="19"/>
          <w:szCs w:val="19"/>
        </w:rPr>
        <w:t>各市、州、县人民政府，省政府各部门：</w:t>
      </w:r>
      <w:bookmarkStart w:id="0" w:name="_GoBack"/>
      <w:bookmarkEnd w:id="0"/>
    </w:p>
    <w:p>
      <w:pPr>
        <w:pStyle w:val="2"/>
        <w:keepNext w:val="0"/>
        <w:keepLines w:val="0"/>
        <w:widowControl/>
        <w:suppressLineNumbers w:val="0"/>
        <w:spacing w:after="150" w:afterAutospacing="0" w:line="315" w:lineRule="atLeast"/>
        <w:ind w:left="0" w:firstLine="380"/>
        <w:jc w:val="left"/>
        <w:rPr>
          <w:rFonts w:hint="eastAsia" w:ascii="宋体" w:hAnsi="宋体" w:eastAsia="宋体" w:cs="宋体"/>
          <w:i w:val="0"/>
          <w:iCs w:val="0"/>
          <w:caps w:val="0"/>
          <w:color w:val="000000"/>
          <w:spacing w:val="0"/>
          <w:sz w:val="19"/>
          <w:szCs w:val="19"/>
        </w:rPr>
      </w:pPr>
      <w:r>
        <w:rPr>
          <w:rFonts w:hint="default" w:ascii="Arial" w:hAnsi="Arial" w:eastAsia="宋体" w:cs="Arial"/>
          <w:i w:val="0"/>
          <w:iCs w:val="0"/>
          <w:caps w:val="0"/>
          <w:color w:val="000000"/>
          <w:spacing w:val="0"/>
          <w:sz w:val="19"/>
          <w:szCs w:val="19"/>
        </w:rPr>
        <w:t>《关于推动私募股权投资行业高质量发展的若干措施》已经省人民政府同意，现印发给你们，请认真抓好贯彻执行。</w:t>
      </w:r>
    </w:p>
    <w:p>
      <w:pPr>
        <w:pStyle w:val="2"/>
        <w:keepNext w:val="0"/>
        <w:keepLines w:val="0"/>
        <w:widowControl/>
        <w:suppressLineNumbers w:val="0"/>
        <w:spacing w:after="150" w:afterAutospacing="0" w:line="315" w:lineRule="atLeast"/>
        <w:ind w:left="0" w:firstLine="380"/>
        <w:jc w:val="right"/>
        <w:rPr>
          <w:rFonts w:hint="eastAsia" w:ascii="宋体" w:hAnsi="宋体" w:eastAsia="宋体" w:cs="宋体"/>
          <w:i w:val="0"/>
          <w:iCs w:val="0"/>
          <w:caps w:val="0"/>
          <w:color w:val="000000"/>
          <w:spacing w:val="0"/>
          <w:sz w:val="19"/>
          <w:szCs w:val="19"/>
        </w:rPr>
      </w:pPr>
      <w:r>
        <w:rPr>
          <w:rFonts w:hint="default" w:ascii="Arial" w:hAnsi="Arial" w:eastAsia="宋体" w:cs="Arial"/>
          <w:i w:val="0"/>
          <w:iCs w:val="0"/>
          <w:caps w:val="0"/>
          <w:color w:val="000000"/>
          <w:spacing w:val="0"/>
          <w:sz w:val="19"/>
          <w:szCs w:val="19"/>
        </w:rPr>
        <w:t>2024年4月29日</w:t>
      </w:r>
    </w:p>
    <w:p>
      <w:pPr>
        <w:pStyle w:val="2"/>
        <w:keepNext w:val="0"/>
        <w:keepLines w:val="0"/>
        <w:widowControl/>
        <w:suppressLineNumbers w:val="0"/>
        <w:spacing w:after="150" w:afterAutospacing="0" w:line="315" w:lineRule="atLeast"/>
        <w:ind w:left="0" w:firstLine="380"/>
        <w:jc w:val="center"/>
        <w:rPr>
          <w:rFonts w:hint="eastAsia" w:ascii="宋体" w:hAnsi="宋体" w:eastAsia="宋体" w:cs="宋体"/>
          <w:b/>
          <w:bCs w:val="0"/>
          <w:i w:val="0"/>
          <w:iCs w:val="0"/>
          <w:caps w:val="0"/>
          <w:color w:val="000000"/>
          <w:spacing w:val="0"/>
          <w:sz w:val="19"/>
          <w:szCs w:val="19"/>
        </w:rPr>
      </w:pPr>
      <w:r>
        <w:rPr>
          <w:rStyle w:val="5"/>
          <w:rFonts w:hint="default" w:ascii="Arial" w:hAnsi="Arial" w:eastAsia="宋体" w:cs="Arial"/>
          <w:b/>
          <w:bCs w:val="0"/>
          <w:i w:val="0"/>
          <w:iCs w:val="0"/>
          <w:caps w:val="0"/>
          <w:color w:val="000000"/>
          <w:spacing w:val="0"/>
          <w:sz w:val="19"/>
          <w:szCs w:val="19"/>
        </w:rPr>
        <w:t>关于推动私募股权投资行业</w:t>
      </w:r>
    </w:p>
    <w:p>
      <w:pPr>
        <w:pStyle w:val="2"/>
        <w:keepNext w:val="0"/>
        <w:keepLines w:val="0"/>
        <w:widowControl/>
        <w:suppressLineNumbers w:val="0"/>
        <w:spacing w:after="150" w:afterAutospacing="0" w:line="315" w:lineRule="atLeast"/>
        <w:ind w:left="0" w:firstLine="380"/>
        <w:jc w:val="center"/>
        <w:rPr>
          <w:rFonts w:hint="eastAsia" w:ascii="宋体" w:hAnsi="宋体" w:eastAsia="宋体" w:cs="宋体"/>
          <w:b/>
          <w:bCs w:val="0"/>
          <w:i w:val="0"/>
          <w:iCs w:val="0"/>
          <w:caps w:val="0"/>
          <w:color w:val="000000"/>
          <w:spacing w:val="0"/>
          <w:sz w:val="19"/>
          <w:szCs w:val="19"/>
        </w:rPr>
      </w:pPr>
      <w:r>
        <w:rPr>
          <w:rStyle w:val="5"/>
          <w:rFonts w:hint="default" w:ascii="Arial" w:hAnsi="Arial" w:eastAsia="宋体" w:cs="Arial"/>
          <w:b/>
          <w:bCs w:val="0"/>
          <w:i w:val="0"/>
          <w:iCs w:val="0"/>
          <w:caps w:val="0"/>
          <w:color w:val="000000"/>
          <w:spacing w:val="0"/>
          <w:sz w:val="19"/>
          <w:szCs w:val="19"/>
        </w:rPr>
        <w:t>高质量发展的若干措施</w:t>
      </w:r>
    </w:p>
    <w:p>
      <w:pPr>
        <w:pStyle w:val="2"/>
        <w:keepNext w:val="0"/>
        <w:keepLines w:val="0"/>
        <w:widowControl/>
        <w:suppressLineNumbers w:val="0"/>
        <w:spacing w:after="150" w:afterAutospacing="0" w:line="315" w:lineRule="atLeast"/>
        <w:ind w:left="0" w:firstLine="380"/>
        <w:jc w:val="left"/>
        <w:rPr>
          <w:rFonts w:hint="eastAsia" w:ascii="宋体" w:hAnsi="宋体" w:eastAsia="宋体" w:cs="宋体"/>
          <w:i w:val="0"/>
          <w:iCs w:val="0"/>
          <w:caps w:val="0"/>
          <w:color w:val="000000"/>
          <w:spacing w:val="0"/>
          <w:sz w:val="19"/>
          <w:szCs w:val="19"/>
        </w:rPr>
      </w:pPr>
      <w:r>
        <w:rPr>
          <w:rFonts w:hint="default" w:ascii="Arial" w:hAnsi="Arial" w:eastAsia="宋体" w:cs="Arial"/>
          <w:i w:val="0"/>
          <w:iCs w:val="0"/>
          <w:caps w:val="0"/>
          <w:color w:val="000000"/>
          <w:spacing w:val="0"/>
          <w:sz w:val="19"/>
          <w:szCs w:val="19"/>
        </w:rPr>
        <w:t>为充分发挥私募股权投资机构在服务科技创新、培育发展新质生产力中的重要作用，构建适应高质量发展要求的基金体系，吸引更多资本助力湖北加快建设全国构建新发展格局先行区，制定如下措施。</w:t>
      </w:r>
    </w:p>
    <w:p>
      <w:pPr>
        <w:pStyle w:val="2"/>
        <w:keepNext w:val="0"/>
        <w:keepLines w:val="0"/>
        <w:widowControl/>
        <w:suppressLineNumbers w:val="0"/>
        <w:spacing w:after="150" w:afterAutospacing="0" w:line="315" w:lineRule="atLeast"/>
        <w:ind w:left="0" w:firstLine="380"/>
        <w:jc w:val="left"/>
        <w:rPr>
          <w:rFonts w:hint="eastAsia" w:ascii="宋体" w:hAnsi="宋体" w:eastAsia="宋体" w:cs="宋体"/>
          <w:i w:val="0"/>
          <w:iCs w:val="0"/>
          <w:caps w:val="0"/>
          <w:color w:val="000000"/>
          <w:spacing w:val="0"/>
          <w:sz w:val="19"/>
          <w:szCs w:val="19"/>
        </w:rPr>
      </w:pPr>
      <w:r>
        <w:rPr>
          <w:rFonts w:hint="default" w:ascii="Arial" w:hAnsi="Arial" w:eastAsia="宋体" w:cs="Arial"/>
          <w:i w:val="0"/>
          <w:iCs w:val="0"/>
          <w:caps w:val="0"/>
          <w:color w:val="000000"/>
          <w:spacing w:val="0"/>
          <w:sz w:val="19"/>
          <w:szCs w:val="19"/>
        </w:rPr>
        <w:t>一、培育壮大市场主体，打造股权投资高地</w:t>
      </w:r>
    </w:p>
    <w:p>
      <w:pPr>
        <w:pStyle w:val="2"/>
        <w:keepNext w:val="0"/>
        <w:keepLines w:val="0"/>
        <w:widowControl/>
        <w:suppressLineNumbers w:val="0"/>
        <w:spacing w:after="150" w:afterAutospacing="0" w:line="315" w:lineRule="atLeast"/>
        <w:ind w:left="0" w:firstLine="380"/>
        <w:jc w:val="left"/>
        <w:rPr>
          <w:rFonts w:hint="eastAsia" w:ascii="宋体" w:hAnsi="宋体" w:eastAsia="宋体" w:cs="宋体"/>
          <w:i w:val="0"/>
          <w:iCs w:val="0"/>
          <w:caps w:val="0"/>
          <w:color w:val="000000"/>
          <w:spacing w:val="0"/>
          <w:sz w:val="19"/>
          <w:szCs w:val="19"/>
        </w:rPr>
      </w:pPr>
      <w:r>
        <w:rPr>
          <w:rFonts w:hint="default" w:ascii="Arial" w:hAnsi="Arial" w:eastAsia="宋体" w:cs="Arial"/>
          <w:i w:val="0"/>
          <w:iCs w:val="0"/>
          <w:caps w:val="0"/>
          <w:color w:val="000000"/>
          <w:spacing w:val="0"/>
          <w:sz w:val="19"/>
          <w:szCs w:val="19"/>
        </w:rPr>
        <w:t>到2026年底，力争全省注册基金数量达到2000只以上，基金管理规模每年增长20％，30家以上头部机构落户湖北，私募股权投资行业对全省高质量发展的贡献度明显提升，逐步成为具有全国较强资源配置能力、创新策源能力和协同发展能力的股权投资高质量发展高地。</w:t>
      </w:r>
    </w:p>
    <w:p>
      <w:pPr>
        <w:pStyle w:val="2"/>
        <w:keepNext w:val="0"/>
        <w:keepLines w:val="0"/>
        <w:widowControl/>
        <w:suppressLineNumbers w:val="0"/>
        <w:spacing w:after="150" w:afterAutospacing="0" w:line="315" w:lineRule="atLeast"/>
        <w:ind w:left="0" w:firstLine="380"/>
        <w:jc w:val="left"/>
        <w:rPr>
          <w:rFonts w:hint="eastAsia" w:ascii="宋体" w:hAnsi="宋体" w:eastAsia="宋体" w:cs="宋体"/>
          <w:i w:val="0"/>
          <w:iCs w:val="0"/>
          <w:caps w:val="0"/>
          <w:color w:val="000000"/>
          <w:spacing w:val="0"/>
          <w:sz w:val="19"/>
          <w:szCs w:val="19"/>
        </w:rPr>
      </w:pPr>
      <w:r>
        <w:rPr>
          <w:rFonts w:hint="default" w:ascii="Arial" w:hAnsi="Arial" w:eastAsia="宋体" w:cs="Arial"/>
          <w:i w:val="0"/>
          <w:iCs w:val="0"/>
          <w:caps w:val="0"/>
          <w:color w:val="000000"/>
          <w:spacing w:val="0"/>
          <w:sz w:val="19"/>
          <w:szCs w:val="19"/>
        </w:rPr>
        <w:t>（一）招引头部机构落户。对新设或新迁入满一年的私募股权投资机构，在省内有实际投资项目的，所在市（州）政府可按其实缴到位注册资本（扣除省级及以下国有投资基金出资部分）的一定比例（不超过2％）给予其管理人一次性落户奖励。各地要将招引头部私募股权投资机构纳入招商引资绩效考核范围，加大市场化招引力度，吸引境内外头部机构来鄂落地，对招引头部机构有重大贡献的管理人核心团队（高管）、中介机构、行业商协会，所在地政府可给予一定奖励。</w:t>
      </w:r>
    </w:p>
    <w:p>
      <w:pPr>
        <w:pStyle w:val="2"/>
        <w:keepNext w:val="0"/>
        <w:keepLines w:val="0"/>
        <w:widowControl/>
        <w:suppressLineNumbers w:val="0"/>
        <w:spacing w:after="150" w:afterAutospacing="0" w:line="315" w:lineRule="atLeast"/>
        <w:ind w:left="0" w:firstLine="380"/>
        <w:jc w:val="left"/>
        <w:rPr>
          <w:rFonts w:hint="eastAsia" w:ascii="宋体" w:hAnsi="宋体" w:eastAsia="宋体" w:cs="宋体"/>
          <w:i w:val="0"/>
          <w:iCs w:val="0"/>
          <w:caps w:val="0"/>
          <w:color w:val="000000"/>
          <w:spacing w:val="0"/>
          <w:sz w:val="19"/>
          <w:szCs w:val="19"/>
        </w:rPr>
      </w:pPr>
      <w:r>
        <w:rPr>
          <w:rFonts w:hint="default" w:ascii="Arial" w:hAnsi="Arial" w:eastAsia="宋体" w:cs="Arial"/>
          <w:i w:val="0"/>
          <w:iCs w:val="0"/>
          <w:caps w:val="0"/>
          <w:color w:val="000000"/>
          <w:spacing w:val="0"/>
          <w:sz w:val="19"/>
          <w:szCs w:val="19"/>
        </w:rPr>
        <w:t>（二）做优做强本土机构。支持长江创投、武创投等平台型基金管理人开展股权激励、项目跟投和混合所有制改革试点。鼓励省内行业龙头企业、上市公司、证券公司、保险公司等主体发起或参与设立私募股权投资机构。支持产业链链主企业开展股权投资，对链主企业设立的CVC机构，可比照私募股权投资管理机构给予相关专项政策扶持。加强与头部机构合作，打造一批在国内具有重要影响力的市场化、专业化、价值化一流基金管理团队。</w:t>
      </w:r>
    </w:p>
    <w:p>
      <w:pPr>
        <w:pStyle w:val="2"/>
        <w:keepNext w:val="0"/>
        <w:keepLines w:val="0"/>
        <w:widowControl/>
        <w:suppressLineNumbers w:val="0"/>
        <w:spacing w:after="150" w:afterAutospacing="0" w:line="315" w:lineRule="atLeast"/>
        <w:ind w:left="0" w:firstLine="380"/>
        <w:jc w:val="left"/>
        <w:rPr>
          <w:rFonts w:hint="eastAsia" w:ascii="宋体" w:hAnsi="宋体" w:eastAsia="宋体" w:cs="宋体"/>
          <w:i w:val="0"/>
          <w:iCs w:val="0"/>
          <w:caps w:val="0"/>
          <w:color w:val="000000"/>
          <w:spacing w:val="0"/>
          <w:sz w:val="19"/>
          <w:szCs w:val="19"/>
        </w:rPr>
      </w:pPr>
      <w:r>
        <w:rPr>
          <w:rFonts w:hint="default" w:ascii="Arial" w:hAnsi="Arial" w:eastAsia="宋体" w:cs="Arial"/>
          <w:i w:val="0"/>
          <w:iCs w:val="0"/>
          <w:caps w:val="0"/>
          <w:color w:val="000000"/>
          <w:spacing w:val="0"/>
          <w:sz w:val="19"/>
          <w:szCs w:val="19"/>
        </w:rPr>
        <w:t>（三）建设私募股权投资集聚区。加快私募股权投资机构聚集发展，支持武汉市打造具有全国影响力的风投创投中心，推动襄阳市、宜昌市打造立足本域、辐射周边的产业资本中心，鼓励其他地方结合实际优化私募股权投资机构发展空间布局，培育一批专业服务能力强、政策扶持力度大、行业管理水平高的私募股权投资集聚区。私募股权投资集聚区要结合实际制定财政奖励、人才引进、租金补贴等专项扶持政策，明确“一站式”服务部门，提升信息共享、资源对接、交易撮合、法律咨询等质效。</w:t>
      </w:r>
    </w:p>
    <w:p>
      <w:pPr>
        <w:pStyle w:val="2"/>
        <w:keepNext w:val="0"/>
        <w:keepLines w:val="0"/>
        <w:widowControl/>
        <w:suppressLineNumbers w:val="0"/>
        <w:spacing w:after="150" w:afterAutospacing="0" w:line="315" w:lineRule="atLeast"/>
        <w:ind w:left="0" w:firstLine="380"/>
        <w:jc w:val="left"/>
        <w:rPr>
          <w:rFonts w:hint="eastAsia" w:ascii="宋体" w:hAnsi="宋体" w:eastAsia="宋体" w:cs="宋体"/>
          <w:i w:val="0"/>
          <w:iCs w:val="0"/>
          <w:caps w:val="0"/>
          <w:color w:val="000000"/>
          <w:spacing w:val="0"/>
          <w:sz w:val="19"/>
          <w:szCs w:val="19"/>
        </w:rPr>
      </w:pPr>
      <w:r>
        <w:rPr>
          <w:rFonts w:hint="default" w:ascii="Arial" w:hAnsi="Arial" w:eastAsia="宋体" w:cs="Arial"/>
          <w:i w:val="0"/>
          <w:iCs w:val="0"/>
          <w:caps w:val="0"/>
          <w:color w:val="000000"/>
          <w:spacing w:val="0"/>
          <w:sz w:val="19"/>
          <w:szCs w:val="19"/>
        </w:rPr>
        <w:t>（四）建立私募股权投资准入快速通道。优化登记准入服务，私募股权投资基金管理人新设股权投资基金企业，市场监管部门在3个工作日内完成登记注册。</w:t>
      </w:r>
    </w:p>
    <w:p>
      <w:pPr>
        <w:pStyle w:val="2"/>
        <w:keepNext w:val="0"/>
        <w:keepLines w:val="0"/>
        <w:widowControl/>
        <w:suppressLineNumbers w:val="0"/>
        <w:spacing w:after="150" w:afterAutospacing="0" w:line="315" w:lineRule="atLeast"/>
        <w:ind w:left="0" w:firstLine="380"/>
        <w:jc w:val="left"/>
        <w:rPr>
          <w:rFonts w:hint="eastAsia" w:ascii="宋体" w:hAnsi="宋体" w:eastAsia="宋体" w:cs="宋体"/>
          <w:i w:val="0"/>
          <w:iCs w:val="0"/>
          <w:caps w:val="0"/>
          <w:color w:val="000000"/>
          <w:spacing w:val="0"/>
          <w:sz w:val="19"/>
          <w:szCs w:val="19"/>
        </w:rPr>
      </w:pPr>
      <w:r>
        <w:rPr>
          <w:rFonts w:hint="default" w:ascii="Arial" w:hAnsi="Arial" w:eastAsia="宋体" w:cs="Arial"/>
          <w:i w:val="0"/>
          <w:iCs w:val="0"/>
          <w:caps w:val="0"/>
          <w:color w:val="000000"/>
          <w:spacing w:val="0"/>
          <w:sz w:val="19"/>
          <w:szCs w:val="19"/>
        </w:rPr>
        <w:t>（五）开展契约型私募基金投资企业登记试点。私募股权投资基金管理人运用契约型股权投资基金财产进行投资的，在以私募股权投资基金管理人名义列入所投企业股东名册时，注明该契约型股权投资基金名称。</w:t>
      </w:r>
    </w:p>
    <w:p>
      <w:pPr>
        <w:pStyle w:val="2"/>
        <w:keepNext w:val="0"/>
        <w:keepLines w:val="0"/>
        <w:widowControl/>
        <w:suppressLineNumbers w:val="0"/>
        <w:spacing w:after="150" w:afterAutospacing="0" w:line="315" w:lineRule="atLeast"/>
        <w:ind w:left="0" w:firstLine="380"/>
        <w:jc w:val="left"/>
        <w:rPr>
          <w:rFonts w:hint="eastAsia" w:ascii="宋体" w:hAnsi="宋体" w:eastAsia="宋体" w:cs="宋体"/>
          <w:i w:val="0"/>
          <w:iCs w:val="0"/>
          <w:caps w:val="0"/>
          <w:color w:val="000000"/>
          <w:spacing w:val="0"/>
          <w:sz w:val="19"/>
          <w:szCs w:val="19"/>
        </w:rPr>
      </w:pPr>
      <w:r>
        <w:rPr>
          <w:rFonts w:hint="default" w:ascii="Arial" w:hAnsi="Arial" w:eastAsia="宋体" w:cs="Arial"/>
          <w:i w:val="0"/>
          <w:iCs w:val="0"/>
          <w:caps w:val="0"/>
          <w:color w:val="000000"/>
          <w:spacing w:val="0"/>
          <w:sz w:val="19"/>
          <w:szCs w:val="19"/>
        </w:rPr>
        <w:t>二、拓宽资金募集渠道，吸引带动社会资本</w:t>
      </w:r>
    </w:p>
    <w:p>
      <w:pPr>
        <w:pStyle w:val="2"/>
        <w:keepNext w:val="0"/>
        <w:keepLines w:val="0"/>
        <w:widowControl/>
        <w:suppressLineNumbers w:val="0"/>
        <w:spacing w:after="150" w:afterAutospacing="0" w:line="315" w:lineRule="atLeast"/>
        <w:ind w:left="0" w:firstLine="380"/>
        <w:jc w:val="left"/>
        <w:rPr>
          <w:rFonts w:hint="eastAsia" w:ascii="宋体" w:hAnsi="宋体" w:eastAsia="宋体" w:cs="宋体"/>
          <w:i w:val="0"/>
          <w:iCs w:val="0"/>
          <w:caps w:val="0"/>
          <w:color w:val="000000"/>
          <w:spacing w:val="0"/>
          <w:sz w:val="19"/>
          <w:szCs w:val="19"/>
        </w:rPr>
      </w:pPr>
      <w:r>
        <w:rPr>
          <w:rFonts w:hint="default" w:ascii="Arial" w:hAnsi="Arial" w:eastAsia="宋体" w:cs="Arial"/>
          <w:i w:val="0"/>
          <w:iCs w:val="0"/>
          <w:caps w:val="0"/>
          <w:color w:val="000000"/>
          <w:spacing w:val="0"/>
          <w:sz w:val="19"/>
          <w:szCs w:val="19"/>
        </w:rPr>
        <w:t>（六）推动私募股权投资机构募资多元化。支持股权投资机构通过债券、保险资金、社保基金等多渠道募资，对保险资金、社保基金出资我省股权投资机构，且用于投资省内早期、初创期科技型企业的，省政府投资引导基金积极予以出资支持。鼓励符合条件的私募投资机构发行科技创新公司债券，募资用于对国家重点支持的科技创新领域企业进行股权投资。</w:t>
      </w:r>
    </w:p>
    <w:p>
      <w:pPr>
        <w:pStyle w:val="2"/>
        <w:keepNext w:val="0"/>
        <w:keepLines w:val="0"/>
        <w:widowControl/>
        <w:suppressLineNumbers w:val="0"/>
        <w:spacing w:after="150" w:afterAutospacing="0" w:line="315" w:lineRule="atLeast"/>
        <w:ind w:left="0" w:firstLine="380"/>
        <w:jc w:val="left"/>
        <w:rPr>
          <w:rFonts w:hint="eastAsia" w:ascii="宋体" w:hAnsi="宋体" w:eastAsia="宋体" w:cs="宋体"/>
          <w:i w:val="0"/>
          <w:iCs w:val="0"/>
          <w:caps w:val="0"/>
          <w:color w:val="000000"/>
          <w:spacing w:val="0"/>
          <w:sz w:val="19"/>
          <w:szCs w:val="19"/>
        </w:rPr>
      </w:pPr>
      <w:r>
        <w:rPr>
          <w:rFonts w:hint="default" w:ascii="Arial" w:hAnsi="Arial" w:eastAsia="宋体" w:cs="Arial"/>
          <w:i w:val="0"/>
          <w:iCs w:val="0"/>
          <w:caps w:val="0"/>
          <w:color w:val="000000"/>
          <w:spacing w:val="0"/>
          <w:sz w:val="19"/>
          <w:szCs w:val="19"/>
        </w:rPr>
        <w:t>（七）强化政府投资基金引导功能。充分发挥200亿元省政府投资基金的杠杆作用，支持市县设立区域政府投资基金，重点聚焦天使投资、科技成果转化、绿色低碳、军民融合等市场失灵领域和产业，带动社会资本投入。力争2－3年内，省级政府出资实现10倍以上放大，形成超过2000亿元的政府投资基金群。</w:t>
      </w:r>
    </w:p>
    <w:p>
      <w:pPr>
        <w:pStyle w:val="2"/>
        <w:keepNext w:val="0"/>
        <w:keepLines w:val="0"/>
        <w:widowControl/>
        <w:suppressLineNumbers w:val="0"/>
        <w:spacing w:after="150" w:afterAutospacing="0" w:line="315" w:lineRule="atLeast"/>
        <w:ind w:left="0" w:firstLine="380"/>
        <w:jc w:val="left"/>
        <w:rPr>
          <w:rFonts w:hint="eastAsia" w:ascii="宋体" w:hAnsi="宋体" w:eastAsia="宋体" w:cs="宋体"/>
          <w:i w:val="0"/>
          <w:iCs w:val="0"/>
          <w:caps w:val="0"/>
          <w:color w:val="000000"/>
          <w:spacing w:val="0"/>
          <w:sz w:val="19"/>
          <w:szCs w:val="19"/>
        </w:rPr>
      </w:pPr>
      <w:r>
        <w:rPr>
          <w:rFonts w:hint="default" w:ascii="Arial" w:hAnsi="Arial" w:eastAsia="宋体" w:cs="Arial"/>
          <w:i w:val="0"/>
          <w:iCs w:val="0"/>
          <w:caps w:val="0"/>
          <w:color w:val="000000"/>
          <w:spacing w:val="0"/>
          <w:sz w:val="19"/>
          <w:szCs w:val="19"/>
        </w:rPr>
        <w:t>（八）提高国企投资基金放大效应。探索适合股权投资行业发展特点的国资监管和考核办法，构建早期项目投资风险补偿机制，完善基金整体核算、市场化估值的绩效评价体系，坚持“三个区分开来”，建立与国企投资基金配套的监察审计制度和尽职免责机制。充分发挥500亿元省级国资母基金作用，撬动各方资本，加大对高新技术领域中小企业培育孵化、省级战略性重大产业和重大项目投资力度。力争2－3年内，省级国企投资基金参股基金目标规模达到6000亿元以上。</w:t>
      </w:r>
    </w:p>
    <w:p>
      <w:pPr>
        <w:pStyle w:val="2"/>
        <w:keepNext w:val="0"/>
        <w:keepLines w:val="0"/>
        <w:widowControl/>
        <w:suppressLineNumbers w:val="0"/>
        <w:spacing w:after="150" w:afterAutospacing="0" w:line="315" w:lineRule="atLeast"/>
        <w:ind w:left="0" w:firstLine="380"/>
        <w:jc w:val="left"/>
        <w:rPr>
          <w:rFonts w:hint="eastAsia" w:ascii="宋体" w:hAnsi="宋体" w:eastAsia="宋体" w:cs="宋体"/>
          <w:i w:val="0"/>
          <w:iCs w:val="0"/>
          <w:caps w:val="0"/>
          <w:color w:val="000000"/>
          <w:spacing w:val="0"/>
          <w:sz w:val="19"/>
          <w:szCs w:val="19"/>
        </w:rPr>
      </w:pPr>
      <w:r>
        <w:rPr>
          <w:rFonts w:hint="default" w:ascii="Arial" w:hAnsi="Arial" w:eastAsia="宋体" w:cs="Arial"/>
          <w:i w:val="0"/>
          <w:iCs w:val="0"/>
          <w:caps w:val="0"/>
          <w:color w:val="000000"/>
          <w:spacing w:val="0"/>
          <w:sz w:val="19"/>
          <w:szCs w:val="19"/>
        </w:rPr>
        <w:t>（九）建立健全投资联动机制。加强政府投资基金与国企投资基金协同联动，有效发挥国有资本引导带动作用，助力赋能我省重大战略部署和重点产业高质量发展。建立省市县联动机制，按照市场化原则相互参股基金，省政府投资基金对区域分母基金的认缴出资比例上限提高为25％，省内财政及国资出资比例上限提高到90％，减轻市县政府出资压力，降低社会资本募资难度。</w:t>
      </w:r>
    </w:p>
    <w:p>
      <w:pPr>
        <w:pStyle w:val="2"/>
        <w:keepNext w:val="0"/>
        <w:keepLines w:val="0"/>
        <w:widowControl/>
        <w:suppressLineNumbers w:val="0"/>
        <w:spacing w:after="150" w:afterAutospacing="0" w:line="315" w:lineRule="atLeast"/>
        <w:ind w:left="0" w:firstLine="380"/>
        <w:jc w:val="left"/>
        <w:rPr>
          <w:rFonts w:hint="eastAsia" w:ascii="宋体" w:hAnsi="宋体" w:eastAsia="宋体" w:cs="宋体"/>
          <w:i w:val="0"/>
          <w:iCs w:val="0"/>
          <w:caps w:val="0"/>
          <w:color w:val="000000"/>
          <w:spacing w:val="0"/>
          <w:sz w:val="19"/>
          <w:szCs w:val="19"/>
        </w:rPr>
      </w:pPr>
      <w:r>
        <w:rPr>
          <w:rFonts w:hint="default" w:ascii="Arial" w:hAnsi="Arial" w:eastAsia="宋体" w:cs="Arial"/>
          <w:i w:val="0"/>
          <w:iCs w:val="0"/>
          <w:caps w:val="0"/>
          <w:color w:val="000000"/>
          <w:spacing w:val="0"/>
          <w:sz w:val="19"/>
          <w:szCs w:val="19"/>
        </w:rPr>
        <w:t>（十）积极争取国家级基金资源。推动国家级基金在我省设立专项基金或投资我省股权投资基金和产业项目，做好与国家级母基金、中央企业基金等的对接服务，为重大股权融资项目落地提供配套保障。</w:t>
      </w:r>
    </w:p>
    <w:p>
      <w:pPr>
        <w:pStyle w:val="2"/>
        <w:keepNext w:val="0"/>
        <w:keepLines w:val="0"/>
        <w:widowControl/>
        <w:suppressLineNumbers w:val="0"/>
        <w:spacing w:after="150" w:afterAutospacing="0" w:line="315" w:lineRule="atLeast"/>
        <w:ind w:left="0" w:firstLine="380"/>
        <w:jc w:val="left"/>
        <w:rPr>
          <w:rFonts w:hint="eastAsia" w:ascii="宋体" w:hAnsi="宋体" w:eastAsia="宋体" w:cs="宋体"/>
          <w:i w:val="0"/>
          <w:iCs w:val="0"/>
          <w:caps w:val="0"/>
          <w:color w:val="000000"/>
          <w:spacing w:val="0"/>
          <w:sz w:val="19"/>
          <w:szCs w:val="19"/>
        </w:rPr>
      </w:pPr>
      <w:r>
        <w:rPr>
          <w:rFonts w:hint="default" w:ascii="Arial" w:hAnsi="Arial" w:eastAsia="宋体" w:cs="Arial"/>
          <w:i w:val="0"/>
          <w:iCs w:val="0"/>
          <w:caps w:val="0"/>
          <w:color w:val="000000"/>
          <w:spacing w:val="0"/>
          <w:sz w:val="19"/>
          <w:szCs w:val="19"/>
        </w:rPr>
        <w:t>（十一）深化QFLP（合格境外有限合伙人）试点。推动湖北自贸试验区武汉片区QFLP试点创新，拓展投资领域和投资方式，支持符合条件的QFLP试点管理人在中基协登记备案。</w:t>
      </w:r>
    </w:p>
    <w:p>
      <w:pPr>
        <w:pStyle w:val="2"/>
        <w:keepNext w:val="0"/>
        <w:keepLines w:val="0"/>
        <w:widowControl/>
        <w:suppressLineNumbers w:val="0"/>
        <w:spacing w:after="150" w:afterAutospacing="0" w:line="315" w:lineRule="atLeast"/>
        <w:ind w:left="0" w:firstLine="380"/>
        <w:jc w:val="left"/>
        <w:rPr>
          <w:rFonts w:hint="eastAsia" w:ascii="宋体" w:hAnsi="宋体" w:eastAsia="宋体" w:cs="宋体"/>
          <w:i w:val="0"/>
          <w:iCs w:val="0"/>
          <w:caps w:val="0"/>
          <w:color w:val="000000"/>
          <w:spacing w:val="0"/>
          <w:sz w:val="19"/>
          <w:szCs w:val="19"/>
        </w:rPr>
      </w:pPr>
      <w:r>
        <w:rPr>
          <w:rFonts w:hint="default" w:ascii="Arial" w:hAnsi="Arial" w:eastAsia="宋体" w:cs="Arial"/>
          <w:i w:val="0"/>
          <w:iCs w:val="0"/>
          <w:caps w:val="0"/>
          <w:color w:val="000000"/>
          <w:spacing w:val="0"/>
          <w:sz w:val="19"/>
          <w:szCs w:val="19"/>
        </w:rPr>
        <w:t>三、加大优质项目供给，促进资本赋能实体经济</w:t>
      </w:r>
    </w:p>
    <w:p>
      <w:pPr>
        <w:pStyle w:val="2"/>
        <w:keepNext w:val="0"/>
        <w:keepLines w:val="0"/>
        <w:widowControl/>
        <w:suppressLineNumbers w:val="0"/>
        <w:spacing w:after="150" w:afterAutospacing="0" w:line="315" w:lineRule="atLeast"/>
        <w:ind w:left="0" w:firstLine="380"/>
        <w:jc w:val="left"/>
        <w:rPr>
          <w:rFonts w:hint="eastAsia" w:ascii="宋体" w:hAnsi="宋体" w:eastAsia="宋体" w:cs="宋体"/>
          <w:i w:val="0"/>
          <w:iCs w:val="0"/>
          <w:caps w:val="0"/>
          <w:color w:val="000000"/>
          <w:spacing w:val="0"/>
          <w:sz w:val="19"/>
          <w:szCs w:val="19"/>
        </w:rPr>
      </w:pPr>
      <w:r>
        <w:rPr>
          <w:rFonts w:hint="default" w:ascii="Arial" w:hAnsi="Arial" w:eastAsia="宋体" w:cs="Arial"/>
          <w:i w:val="0"/>
          <w:iCs w:val="0"/>
          <w:caps w:val="0"/>
          <w:color w:val="000000"/>
          <w:spacing w:val="0"/>
          <w:sz w:val="19"/>
          <w:szCs w:val="19"/>
        </w:rPr>
        <w:t>（十二）建立优质项目储备库。围绕我省五大优势产业、九大新兴特色产业，加强优质项目挖掘，梳理建立科技型企业、专精特新“小巨人”、科技成果转化和上市后备“金种子”“银种子”等备投企业或项目库，实行动态管理，为承接股权投资落地提供有效载体。建立优质项目储备库信息发布机制，开放企业和项目资源，促进与股权投资机构信息共享、匹配对接。</w:t>
      </w:r>
    </w:p>
    <w:p>
      <w:pPr>
        <w:pStyle w:val="2"/>
        <w:keepNext w:val="0"/>
        <w:keepLines w:val="0"/>
        <w:widowControl/>
        <w:suppressLineNumbers w:val="0"/>
        <w:spacing w:after="150" w:afterAutospacing="0" w:line="315" w:lineRule="atLeast"/>
        <w:ind w:left="0" w:firstLine="380"/>
        <w:jc w:val="left"/>
        <w:rPr>
          <w:rFonts w:hint="eastAsia" w:ascii="宋体" w:hAnsi="宋体" w:eastAsia="宋体" w:cs="宋体"/>
          <w:i w:val="0"/>
          <w:iCs w:val="0"/>
          <w:caps w:val="0"/>
          <w:color w:val="000000"/>
          <w:spacing w:val="0"/>
          <w:sz w:val="19"/>
          <w:szCs w:val="19"/>
        </w:rPr>
      </w:pPr>
      <w:r>
        <w:rPr>
          <w:rFonts w:hint="default" w:ascii="Arial" w:hAnsi="Arial" w:eastAsia="宋体" w:cs="Arial"/>
          <w:i w:val="0"/>
          <w:iCs w:val="0"/>
          <w:caps w:val="0"/>
          <w:color w:val="000000"/>
          <w:spacing w:val="0"/>
          <w:sz w:val="19"/>
          <w:szCs w:val="19"/>
        </w:rPr>
        <w:t>（十三）打造综合服务对接平台。依托武汉股权托管交易中心建设股权投资线上综合服务平台，联通行业主管部门、股权投资机构与企业、项目的信息对接。依托湖北科创企业“智慧大脑”建设创业投资产融对接平台，精准匹配科创企业融资需求。建立上市后备资源与股权投资机构双向推送机制，引导投资机构投资上市后备资源库企业。建立高等院校、科研院所、重点实验室科研成果跟踪对接机制，推动资本与科研成果耦合。</w:t>
      </w:r>
    </w:p>
    <w:p>
      <w:pPr>
        <w:pStyle w:val="2"/>
        <w:keepNext w:val="0"/>
        <w:keepLines w:val="0"/>
        <w:widowControl/>
        <w:suppressLineNumbers w:val="0"/>
        <w:spacing w:after="150" w:afterAutospacing="0" w:line="315" w:lineRule="atLeast"/>
        <w:ind w:left="0" w:firstLine="380"/>
        <w:jc w:val="left"/>
        <w:rPr>
          <w:rFonts w:hint="eastAsia" w:ascii="宋体" w:hAnsi="宋体" w:eastAsia="宋体" w:cs="宋体"/>
          <w:i w:val="0"/>
          <w:iCs w:val="0"/>
          <w:caps w:val="0"/>
          <w:color w:val="000000"/>
          <w:spacing w:val="0"/>
          <w:sz w:val="19"/>
          <w:szCs w:val="19"/>
        </w:rPr>
      </w:pPr>
      <w:r>
        <w:rPr>
          <w:rFonts w:hint="default" w:ascii="Arial" w:hAnsi="Arial" w:eastAsia="宋体" w:cs="Arial"/>
          <w:i w:val="0"/>
          <w:iCs w:val="0"/>
          <w:caps w:val="0"/>
          <w:color w:val="000000"/>
          <w:spacing w:val="0"/>
          <w:sz w:val="19"/>
          <w:szCs w:val="19"/>
        </w:rPr>
        <w:t>（十四）聚焦投早投小投科技。鼓励各级政府投资基金通过参股配资等方式引导各类社会资本在我省设立种子基金、天使基金等风投创投基金。发挥100亿元“楚天凤鸣”科创天使基金作用，支持科技成果转化和重点实验室建设。对创业投资机构投资我省早期、初创期科技型企业满足一定条件的，给予其管理机构最高累计不超过300万元奖励。健全完善覆盖天使投资、风险投资、创业投资、并购重组投资等服务企业全生命周期的私募股权投资基金体系，引导社会资本投向科技创新、高端装备、生物医药、智能制造、绿色低碳、数字经济等重点领域。推动开展投贷联动，加大综合金融支持力度。</w:t>
      </w:r>
    </w:p>
    <w:p>
      <w:pPr>
        <w:pStyle w:val="2"/>
        <w:keepNext w:val="0"/>
        <w:keepLines w:val="0"/>
        <w:widowControl/>
        <w:suppressLineNumbers w:val="0"/>
        <w:spacing w:after="150" w:afterAutospacing="0" w:line="315" w:lineRule="atLeast"/>
        <w:ind w:left="0" w:firstLine="380"/>
        <w:jc w:val="left"/>
        <w:rPr>
          <w:rFonts w:hint="eastAsia" w:ascii="宋体" w:hAnsi="宋体" w:eastAsia="宋体" w:cs="宋体"/>
          <w:i w:val="0"/>
          <w:iCs w:val="0"/>
          <w:caps w:val="0"/>
          <w:color w:val="000000"/>
          <w:spacing w:val="0"/>
          <w:sz w:val="19"/>
          <w:szCs w:val="19"/>
        </w:rPr>
      </w:pPr>
      <w:r>
        <w:rPr>
          <w:rFonts w:hint="default" w:ascii="Arial" w:hAnsi="Arial" w:eastAsia="宋体" w:cs="Arial"/>
          <w:i w:val="0"/>
          <w:iCs w:val="0"/>
          <w:caps w:val="0"/>
          <w:color w:val="000000"/>
          <w:spacing w:val="0"/>
          <w:sz w:val="19"/>
          <w:szCs w:val="19"/>
        </w:rPr>
        <w:t>（十五）鼓励基金引入招商项目。对私募股权投资机构引入重大项目和社会效益明显的项目，以及通过重组及并购等方式引进符合我省重点产业链发展方向的项目，各地可按照“一企一策”原则或按实际落地项目投资额一定比例，给予基金管理人奖励。</w:t>
      </w:r>
    </w:p>
    <w:p>
      <w:pPr>
        <w:pStyle w:val="2"/>
        <w:keepNext w:val="0"/>
        <w:keepLines w:val="0"/>
        <w:widowControl/>
        <w:suppressLineNumbers w:val="0"/>
        <w:spacing w:after="150" w:afterAutospacing="0" w:line="315" w:lineRule="atLeast"/>
        <w:ind w:left="0" w:firstLine="380"/>
        <w:jc w:val="left"/>
        <w:rPr>
          <w:rFonts w:hint="eastAsia" w:ascii="宋体" w:hAnsi="宋体" w:eastAsia="宋体" w:cs="宋体"/>
          <w:i w:val="0"/>
          <w:iCs w:val="0"/>
          <w:caps w:val="0"/>
          <w:color w:val="000000"/>
          <w:spacing w:val="0"/>
          <w:sz w:val="19"/>
          <w:szCs w:val="19"/>
        </w:rPr>
      </w:pPr>
      <w:r>
        <w:rPr>
          <w:rFonts w:hint="default" w:ascii="Arial" w:hAnsi="Arial" w:eastAsia="宋体" w:cs="Arial"/>
          <w:i w:val="0"/>
          <w:iCs w:val="0"/>
          <w:caps w:val="0"/>
          <w:color w:val="000000"/>
          <w:spacing w:val="0"/>
          <w:sz w:val="19"/>
          <w:szCs w:val="19"/>
        </w:rPr>
        <w:t>四、营造行业良好生态，激发投资市场活力</w:t>
      </w:r>
    </w:p>
    <w:p>
      <w:pPr>
        <w:pStyle w:val="2"/>
        <w:keepNext w:val="0"/>
        <w:keepLines w:val="0"/>
        <w:widowControl/>
        <w:suppressLineNumbers w:val="0"/>
        <w:spacing w:after="150" w:afterAutospacing="0" w:line="315" w:lineRule="atLeast"/>
        <w:ind w:left="0" w:firstLine="380"/>
        <w:jc w:val="left"/>
        <w:rPr>
          <w:rFonts w:hint="eastAsia" w:ascii="宋体" w:hAnsi="宋体" w:eastAsia="宋体" w:cs="宋体"/>
          <w:i w:val="0"/>
          <w:iCs w:val="0"/>
          <w:caps w:val="0"/>
          <w:color w:val="000000"/>
          <w:spacing w:val="0"/>
          <w:sz w:val="19"/>
          <w:szCs w:val="19"/>
        </w:rPr>
      </w:pPr>
      <w:r>
        <w:rPr>
          <w:rFonts w:hint="default" w:ascii="Arial" w:hAnsi="Arial" w:eastAsia="宋体" w:cs="Arial"/>
          <w:i w:val="0"/>
          <w:iCs w:val="0"/>
          <w:caps w:val="0"/>
          <w:color w:val="000000"/>
          <w:spacing w:val="0"/>
          <w:sz w:val="19"/>
          <w:szCs w:val="19"/>
        </w:rPr>
        <w:t>（十六）提升私募股权投资机构专业化水平。各地要组织监管部门、行业协会、高等院校、第三方服务机构开展财务、法律、风控等专业培训，提高私募股权投资机构在投资退出、合规运作等方面的能力。实施股权投资卓越人才计划，加大对高层次、专业化人才引进和培养力度，培育更多懂科技、懂产业、懂金融的复合型投资人才。</w:t>
      </w:r>
    </w:p>
    <w:p>
      <w:pPr>
        <w:pStyle w:val="2"/>
        <w:keepNext w:val="0"/>
        <w:keepLines w:val="0"/>
        <w:widowControl/>
        <w:suppressLineNumbers w:val="0"/>
        <w:spacing w:after="150" w:afterAutospacing="0" w:line="315" w:lineRule="atLeast"/>
        <w:ind w:left="0" w:firstLine="380"/>
        <w:jc w:val="left"/>
        <w:rPr>
          <w:rFonts w:hint="eastAsia" w:ascii="宋体" w:hAnsi="宋体" w:eastAsia="宋体" w:cs="宋体"/>
          <w:i w:val="0"/>
          <w:iCs w:val="0"/>
          <w:caps w:val="0"/>
          <w:color w:val="000000"/>
          <w:spacing w:val="0"/>
          <w:sz w:val="19"/>
          <w:szCs w:val="19"/>
        </w:rPr>
      </w:pPr>
      <w:r>
        <w:rPr>
          <w:rFonts w:hint="default" w:ascii="Arial" w:hAnsi="Arial" w:eastAsia="宋体" w:cs="Arial"/>
          <w:i w:val="0"/>
          <w:iCs w:val="0"/>
          <w:caps w:val="0"/>
          <w:color w:val="000000"/>
          <w:spacing w:val="0"/>
          <w:sz w:val="19"/>
          <w:szCs w:val="19"/>
        </w:rPr>
        <w:t>（十七）优化信用环境。健全私募股权投资机构管理人和从业人员信用记录，并推送至国家企业信用信息公示系统、湖北省社会信用信息服务平台，依法依规向社会公示，推动相关信息在政府投资基金评审、产业扶持政策申请审核等环节的运用。</w:t>
      </w:r>
    </w:p>
    <w:p>
      <w:pPr>
        <w:pStyle w:val="2"/>
        <w:keepNext w:val="0"/>
        <w:keepLines w:val="0"/>
        <w:widowControl/>
        <w:suppressLineNumbers w:val="0"/>
        <w:spacing w:after="150" w:afterAutospacing="0" w:line="315" w:lineRule="atLeast"/>
        <w:ind w:left="0" w:firstLine="380"/>
        <w:jc w:val="left"/>
        <w:rPr>
          <w:rFonts w:hint="eastAsia" w:ascii="宋体" w:hAnsi="宋体" w:eastAsia="宋体" w:cs="宋体"/>
          <w:i w:val="0"/>
          <w:iCs w:val="0"/>
          <w:caps w:val="0"/>
          <w:color w:val="000000"/>
          <w:spacing w:val="0"/>
          <w:sz w:val="19"/>
          <w:szCs w:val="19"/>
        </w:rPr>
      </w:pPr>
      <w:r>
        <w:rPr>
          <w:rFonts w:hint="default" w:ascii="Arial" w:hAnsi="Arial" w:eastAsia="宋体" w:cs="Arial"/>
          <w:i w:val="0"/>
          <w:iCs w:val="0"/>
          <w:caps w:val="0"/>
          <w:color w:val="000000"/>
          <w:spacing w:val="0"/>
          <w:sz w:val="19"/>
          <w:szCs w:val="19"/>
        </w:rPr>
        <w:t>（十八）畅通股权投资退出渠道。建立股权投资被投企业上市后备库，加大上市辅导服务力度。支持国企、上市公司、有实力的民营企业设立产业并购基金。在武汉股权托管交易中心开展私募股权和创业投资份额转让试点，推进实施国资基金份额进场交易。引导设立私募股权二级市场投资基金（S基金），支持股权投资基金份额持有人通过份额转让、被投企业并购重组、实物分配股票等方式退出。</w:t>
      </w:r>
    </w:p>
    <w:p>
      <w:pPr>
        <w:pStyle w:val="2"/>
        <w:keepNext w:val="0"/>
        <w:keepLines w:val="0"/>
        <w:widowControl/>
        <w:suppressLineNumbers w:val="0"/>
        <w:spacing w:after="150" w:afterAutospacing="0" w:line="315" w:lineRule="atLeast"/>
        <w:ind w:left="0" w:firstLine="380"/>
        <w:jc w:val="left"/>
        <w:rPr>
          <w:rFonts w:hint="eastAsia" w:ascii="宋体" w:hAnsi="宋体" w:eastAsia="宋体" w:cs="宋体"/>
          <w:i w:val="0"/>
          <w:iCs w:val="0"/>
          <w:caps w:val="0"/>
          <w:color w:val="000000"/>
          <w:spacing w:val="0"/>
          <w:sz w:val="19"/>
          <w:szCs w:val="19"/>
        </w:rPr>
      </w:pPr>
      <w:r>
        <w:rPr>
          <w:rFonts w:hint="default" w:ascii="Arial" w:hAnsi="Arial" w:eastAsia="宋体" w:cs="Arial"/>
          <w:i w:val="0"/>
          <w:iCs w:val="0"/>
          <w:caps w:val="0"/>
          <w:color w:val="000000"/>
          <w:spacing w:val="0"/>
          <w:sz w:val="19"/>
          <w:szCs w:val="19"/>
        </w:rPr>
        <w:t>（十九）落实税收优惠政策。创业投资机构和天使投资个人采取股权投资方式直接投资于种子期、初创期科技型企业满2年的，可按照投资额的70％抵扣应纳税所得额。对合伙型创业投资机构，选择单一投资基金核算的个人合伙人股权转让所得和股息红利所得，按照20％税率计算缴纳个人所得税。建立完善证监、发展改革部门创业投资企业登记备案信息与税务部门的共享机制，做好政策精准推送，简化申请程序。</w:t>
      </w:r>
    </w:p>
    <w:p>
      <w:pPr>
        <w:pStyle w:val="2"/>
        <w:keepNext w:val="0"/>
        <w:keepLines w:val="0"/>
        <w:widowControl/>
        <w:suppressLineNumbers w:val="0"/>
        <w:spacing w:after="150" w:afterAutospacing="0" w:line="315" w:lineRule="atLeast"/>
        <w:ind w:left="0" w:firstLine="380"/>
        <w:jc w:val="left"/>
        <w:rPr>
          <w:rFonts w:hint="eastAsia" w:ascii="宋体" w:hAnsi="宋体" w:eastAsia="宋体" w:cs="宋体"/>
          <w:i w:val="0"/>
          <w:iCs w:val="0"/>
          <w:caps w:val="0"/>
          <w:color w:val="000000"/>
          <w:spacing w:val="0"/>
          <w:sz w:val="19"/>
          <w:szCs w:val="19"/>
        </w:rPr>
      </w:pPr>
      <w:r>
        <w:rPr>
          <w:rFonts w:hint="default" w:ascii="Arial" w:hAnsi="Arial" w:eastAsia="宋体" w:cs="Arial"/>
          <w:i w:val="0"/>
          <w:iCs w:val="0"/>
          <w:caps w:val="0"/>
          <w:color w:val="000000"/>
          <w:spacing w:val="0"/>
          <w:sz w:val="19"/>
          <w:szCs w:val="19"/>
        </w:rPr>
        <w:t>（二十）加强监测评估。强化行业主管、金融监管、市场监管等部门对私募股权投资机构登记注册信息、备案信息的共享互通，建立全口径统计指标体系。跟踪监测机构展业情况，动态评估、分类施策、扶优限劣，促进行业健康有序发展。对私募股权投资行业整体发展情况、政府投资基金和国企基金运作情况、对市县带动情况进行分类评估。依托有关专业机构或行业协会，编制全省私募股权投资行业年度发展报告。</w:t>
      </w:r>
    </w:p>
    <w:p>
      <w:pPr>
        <w:pStyle w:val="2"/>
        <w:keepNext w:val="0"/>
        <w:keepLines w:val="0"/>
        <w:widowControl/>
        <w:suppressLineNumbers w:val="0"/>
        <w:spacing w:after="150" w:afterAutospacing="0" w:line="315" w:lineRule="atLeast"/>
        <w:ind w:left="0" w:firstLine="380"/>
        <w:jc w:val="left"/>
      </w:pPr>
      <w:r>
        <w:rPr>
          <w:rFonts w:hint="default" w:ascii="Arial" w:hAnsi="Arial" w:eastAsia="宋体" w:cs="Arial"/>
          <w:i w:val="0"/>
          <w:iCs w:val="0"/>
          <w:caps w:val="0"/>
          <w:color w:val="000000"/>
          <w:spacing w:val="0"/>
          <w:sz w:val="19"/>
          <w:szCs w:val="19"/>
        </w:rPr>
        <w:t>（二十一）形成工作合力。各地要建立私募股权投资行业高质量发展工作机制，及时研究解决影响行业发展的难点、痛点、堵点问题，统筹协调和推进各项政策措施的落实。相关部门按照职责分工，共同为私募股权投资行业发展创造有利环境。</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ZhZGJhMWI5N2RiNjBmMTQ1YThlY2E4OTg2M2U5ZWUifQ=="/>
  </w:docVars>
  <w:rsids>
    <w:rsidRoot w:val="131A20D6"/>
    <w:rsid w:val="131A20D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2024-08-07T09:27:00Z</dcterms:created>
  <dc:creator>晚安</dc:creator>
  <cp:lastModifiedBy>晚安</cp:lastModifiedBy>
  <dcterms:modified xsi:type="dcterms:W3CDTF">2024-08-07T09:28:35Z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431A0D6A600E4EDDBE20DC77E453D206_11</vt:lpwstr>
  </property>
</Properties>
</file>