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555" w:lineRule="atLeast"/>
        <w:jc w:val="center"/>
        <w:rPr>
          <w:rFonts w:ascii="方正小标宋_GBK" w:hAnsi="方正小标宋_GBK" w:eastAsia="方正小标宋_GBK" w:cs="方正小标宋_GBK"/>
          <w:color w:val="222222"/>
          <w:sz w:val="44"/>
          <w:szCs w:val="44"/>
        </w:rPr>
      </w:pPr>
      <w:bookmarkStart w:id="0" w:name="_GoBack"/>
      <w:bookmarkEnd w:id="0"/>
      <w:r>
        <w:rPr>
          <w:rFonts w:hint="eastAsia" w:ascii="方正小标宋_GBK" w:hAnsi="方正小标宋_GBK" w:eastAsia="方正小标宋_GBK" w:cs="方正小标宋_GBK"/>
          <w:color w:val="222222"/>
          <w:sz w:val="44"/>
          <w:szCs w:val="44"/>
          <w:shd w:val="clear" w:color="auto" w:fill="FFFFFF"/>
        </w:rPr>
        <w:t>湖北省典当行监督管理实施细则（试行）</w:t>
      </w:r>
    </w:p>
    <w:p>
      <w:pPr>
        <w:pStyle w:val="5"/>
        <w:widowControl/>
        <w:shd w:val="clear" w:color="auto" w:fill="FFFFFF"/>
        <w:spacing w:before="0" w:beforeAutospacing="0" w:after="0" w:afterAutospacing="0" w:line="555" w:lineRule="atLeast"/>
        <w:jc w:val="center"/>
        <w:rPr>
          <w:rFonts w:hint="eastAsia" w:ascii="CESI楷体-GB2312" w:hAnsi="CESI楷体-GB2312" w:eastAsia="CESI楷体-GB2312" w:cs="CESI楷体-GB2312"/>
          <w:color w:val="222222"/>
          <w:sz w:val="32"/>
          <w:szCs w:val="32"/>
          <w:shd w:val="clear" w:color="auto" w:fill="FFFFFF"/>
        </w:rPr>
      </w:pPr>
      <w:r>
        <w:rPr>
          <w:rFonts w:hint="eastAsia" w:ascii="CESI楷体-GB2312" w:hAnsi="CESI楷体-GB2312" w:eastAsia="CESI楷体-GB2312" w:cs="CESI楷体-GB2312"/>
          <w:color w:val="222222"/>
          <w:sz w:val="32"/>
          <w:szCs w:val="32"/>
          <w:shd w:val="clear" w:color="auto" w:fill="FFFFFF"/>
        </w:rPr>
        <w:t>（征求意见稿）</w:t>
      </w:r>
    </w:p>
    <w:p>
      <w:pPr>
        <w:pStyle w:val="5"/>
        <w:widowControl/>
        <w:shd w:val="clear" w:color="auto" w:fill="FFFFFF"/>
        <w:spacing w:before="0" w:beforeAutospacing="0" w:after="0" w:afterAutospacing="0" w:line="555" w:lineRule="atLeast"/>
        <w:jc w:val="center"/>
        <w:rPr>
          <w:rFonts w:hint="eastAsia" w:ascii="CESI楷体-GB2312" w:hAnsi="CESI楷体-GB2312" w:eastAsia="CESI楷体-GB2312" w:cs="CESI楷体-GB2312"/>
          <w:color w:val="222222"/>
          <w:sz w:val="32"/>
          <w:szCs w:val="32"/>
          <w:shd w:val="clear" w:color="auto" w:fill="FFFFFF"/>
        </w:rPr>
      </w:pPr>
    </w:p>
    <w:p>
      <w:pPr>
        <w:pStyle w:val="5"/>
        <w:widowControl/>
        <w:shd w:val="clear" w:color="auto" w:fill="FFFFFF"/>
        <w:spacing w:before="0" w:beforeAutospacing="0" w:after="0" w:afterAutospacing="0" w:line="555" w:lineRule="atLeast"/>
        <w:ind w:firstLine="3200" w:firstLineChars="1000"/>
        <w:jc w:val="both"/>
        <w:rPr>
          <w:rFonts w:ascii="sans-serif" w:hAnsi="sans-serif" w:eastAsia="sans-serif" w:cs="sans-serif"/>
          <w:sz w:val="32"/>
          <w:szCs w:val="32"/>
        </w:rPr>
      </w:pPr>
      <w:r>
        <w:rPr>
          <w:rFonts w:ascii="黑体" w:hAnsi="宋体" w:eastAsia="黑体" w:cs="黑体"/>
          <w:sz w:val="32"/>
          <w:szCs w:val="32"/>
          <w:shd w:val="clear" w:color="auto" w:fill="FFFFFF"/>
        </w:rPr>
        <w:t>第一章  总  则</w:t>
      </w:r>
    </w:p>
    <w:p>
      <w:pPr>
        <w:pStyle w:val="5"/>
        <w:widowControl/>
        <w:shd w:val="clear" w:color="auto" w:fill="FFFFFF"/>
        <w:adjustRightInd w:val="0"/>
        <w:snapToGrid w:val="0"/>
        <w:spacing w:before="0" w:beforeAutospacing="0" w:after="0" w:afterAutospacing="0" w:line="580" w:lineRule="exact"/>
        <w:ind w:left="600"/>
        <w:jc w:val="both"/>
        <w:rPr>
          <w:rFonts w:ascii="sans-serif" w:hAnsi="sans-serif" w:eastAsia="sans-serif" w:cs="sans-serif"/>
          <w:sz w:val="32"/>
          <w:szCs w:val="32"/>
        </w:rPr>
      </w:pPr>
      <w:r>
        <w:rPr>
          <w:rStyle w:val="7"/>
          <w:rFonts w:ascii="仿宋_GB2312" w:hAnsi="sans-serif" w:eastAsia="仿宋_GB2312" w:cs="仿宋_GB2312"/>
          <w:sz w:val="32"/>
          <w:szCs w:val="32"/>
          <w:shd w:val="clear" w:color="auto" w:fill="FFFFFF"/>
        </w:rPr>
        <w:t> </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 w:hAnsi="仿宋" w:eastAsia="仿宋" w:cs="仿宋_GB2312"/>
          <w:bCs/>
          <w:color w:val="000000" w:themeColor="text1"/>
          <w:sz w:val="32"/>
          <w:szCs w:val="32"/>
          <w:shd w:val="clear" w:color="auto" w:fill="FFFFFF"/>
          <w14:textFill>
            <w14:solidFill>
              <w14:schemeClr w14:val="tx1"/>
            </w14:solidFill>
          </w14:textFill>
        </w:rPr>
      </w:pPr>
      <w:r>
        <w:rPr>
          <w:rFonts w:hint="eastAsia" w:ascii="仿宋" w:hAnsi="仿宋" w:eastAsia="仿宋" w:cs="仿宋_GB2312"/>
          <w:b/>
          <w:sz w:val="32"/>
          <w:szCs w:val="32"/>
        </w:rPr>
        <w:t>第一条</w:t>
      </w:r>
      <w:r>
        <w:rPr>
          <w:rFonts w:hint="eastAsia" w:ascii="仿宋" w:hAnsi="仿宋" w:eastAsia="仿宋" w:cs="仿宋_GB2312"/>
          <w:bCs/>
          <w:sz w:val="32"/>
          <w:szCs w:val="32"/>
        </w:rPr>
        <w:t xml:space="preserve">  </w:t>
      </w:r>
      <w:r>
        <w:rPr>
          <w:rFonts w:hint="eastAsia" w:ascii="仿宋" w:hAnsi="仿宋" w:eastAsia="仿宋" w:cs="仿宋_GB2312"/>
          <w:bCs/>
          <w:color w:val="000000" w:themeColor="text1"/>
          <w:sz w:val="32"/>
          <w:szCs w:val="32"/>
          <w:shd w:val="clear" w:color="auto" w:fill="FFFFFF"/>
          <w14:textFill>
            <w14:solidFill>
              <w14:schemeClr w14:val="tx1"/>
            </w14:solidFill>
          </w14:textFill>
        </w:rPr>
        <w:t>为进一步发挥典当行支持小微企业、个体工商户和“三农”主体普惠金融服务作用，加强典当行监督管理，规范典当行经营行为，推动行业持续、稳定、健康发展，根据《中华人民共和国民法典》《防范和处置非法集资条例》《湖北省地方金融条例》等法律法规和《典当管理办法》</w:t>
      </w:r>
      <w:r>
        <w:rPr>
          <w:rFonts w:ascii="仿宋" w:hAnsi="仿宋" w:eastAsia="仿宋" w:cs="仿宋_GB2312"/>
          <w:bCs/>
          <w:color w:val="000000" w:themeColor="text1"/>
          <w:sz w:val="32"/>
          <w:szCs w:val="32"/>
          <w:shd w:val="clear" w:color="auto" w:fill="FFFFFF"/>
          <w14:textFill>
            <w14:solidFill>
              <w14:schemeClr w14:val="tx1"/>
            </w14:solidFill>
          </w14:textFill>
        </w:rPr>
        <w:t>（商务部、公安部2005年第8号令）</w:t>
      </w:r>
      <w:r>
        <w:rPr>
          <w:rFonts w:hint="eastAsia" w:ascii="仿宋" w:hAnsi="仿宋" w:eastAsia="仿宋" w:cs="仿宋_GB2312"/>
          <w:bCs/>
          <w:color w:val="000000" w:themeColor="text1"/>
          <w:sz w:val="32"/>
          <w:szCs w:val="32"/>
          <w:shd w:val="clear" w:color="auto" w:fill="FFFFFF"/>
          <w14:textFill>
            <w14:solidFill>
              <w14:schemeClr w14:val="tx1"/>
            </w14:solidFill>
          </w14:textFill>
        </w:rPr>
        <w:t>、《中国银保监会办公厅关于加强典当行监督管理的通知》（银保监办发〔2020〕38号）等规定，以及省委省政府有关地方金融监管工作要求，结合我省实际，制定本细则。</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 w:hAnsi="仿宋" w:eastAsia="仿宋" w:cs="仿宋_GB2312"/>
          <w:bCs/>
          <w:color w:val="000000" w:themeColor="text1"/>
          <w:sz w:val="32"/>
          <w:szCs w:val="32"/>
          <w:shd w:val="clear" w:color="auto" w:fill="FFFFFF"/>
          <w14:textFill>
            <w14:solidFill>
              <w14:schemeClr w14:val="tx1"/>
            </w14:solidFill>
          </w14:textFill>
        </w:rPr>
      </w:pPr>
      <w:r>
        <w:rPr>
          <w:rFonts w:hint="eastAsia" w:ascii="仿宋" w:hAnsi="仿宋" w:eastAsia="仿宋" w:cs="仿宋_GB2312"/>
          <w:b/>
          <w:color w:val="000000" w:themeColor="text1"/>
          <w:sz w:val="32"/>
          <w:szCs w:val="32"/>
          <w:shd w:val="clear" w:color="auto" w:fill="FFFFFF"/>
          <w14:textFill>
            <w14:solidFill>
              <w14:schemeClr w14:val="tx1"/>
            </w14:solidFill>
          </w14:textFill>
        </w:rPr>
        <w:t>第二条</w:t>
      </w:r>
      <w:r>
        <w:rPr>
          <w:rFonts w:hint="eastAsia" w:ascii="仿宋" w:hAnsi="仿宋" w:eastAsia="仿宋" w:cs="仿宋_GB2312"/>
          <w:bCs/>
          <w:color w:val="000000" w:themeColor="text1"/>
          <w:sz w:val="32"/>
          <w:szCs w:val="32"/>
          <w:shd w:val="clear" w:color="auto" w:fill="FFFFFF"/>
          <w14:textFill>
            <w14:solidFill>
              <w14:schemeClr w14:val="tx1"/>
            </w14:solidFill>
          </w14:textFill>
        </w:rPr>
        <w:t xml:space="preserve">  本细则所称典当行是指在本省范围内依法设立，不吸收公众存款，主要经营典当业务的企业法人。</w:t>
      </w:r>
    </w:p>
    <w:p>
      <w:pPr>
        <w:pStyle w:val="5"/>
        <w:widowControl/>
        <w:shd w:val="clear" w:color="auto" w:fill="FFFFFF"/>
        <w:adjustRightInd w:val="0"/>
        <w:snapToGrid w:val="0"/>
        <w:spacing w:before="0" w:beforeAutospacing="0" w:after="0" w:afterAutospacing="0" w:line="580" w:lineRule="exact"/>
        <w:ind w:firstLine="640" w:firstLineChars="200"/>
        <w:jc w:val="both"/>
        <w:rPr>
          <w:rFonts w:ascii="仿宋" w:hAnsi="仿宋" w:eastAsia="仿宋" w:cs="仿宋_GB2312"/>
          <w:bCs/>
          <w:color w:val="000000" w:themeColor="text1"/>
          <w:sz w:val="32"/>
          <w:szCs w:val="32"/>
          <w:shd w:val="clear" w:color="auto" w:fill="FFFFFF"/>
          <w14:textFill>
            <w14:solidFill>
              <w14:schemeClr w14:val="tx1"/>
            </w14:solidFill>
          </w14:textFill>
        </w:rPr>
      </w:pPr>
      <w:r>
        <w:rPr>
          <w:rFonts w:ascii="仿宋" w:hAnsi="仿宋" w:eastAsia="仿宋" w:cs="仿宋_GB2312"/>
          <w:bCs/>
          <w:color w:val="000000" w:themeColor="text1"/>
          <w:sz w:val="32"/>
          <w:szCs w:val="32"/>
          <w:shd w:val="clear" w:color="auto" w:fill="FFFFFF"/>
          <w14:textFill>
            <w14:solidFill>
              <w14:schemeClr w14:val="tx1"/>
            </w14:solidFill>
          </w14:textFill>
        </w:rPr>
        <w:t>本</w:t>
      </w:r>
      <w:r>
        <w:rPr>
          <w:rFonts w:hint="eastAsia" w:ascii="仿宋" w:hAnsi="仿宋" w:eastAsia="仿宋" w:cs="仿宋_GB2312"/>
          <w:bCs/>
          <w:color w:val="000000" w:themeColor="text1"/>
          <w:sz w:val="32"/>
          <w:szCs w:val="32"/>
          <w:shd w:val="clear" w:color="auto" w:fill="FFFFFF"/>
          <w14:textFill>
            <w14:solidFill>
              <w14:schemeClr w14:val="tx1"/>
            </w14:solidFill>
          </w14:textFill>
        </w:rPr>
        <w:t>细则</w:t>
      </w:r>
      <w:r>
        <w:rPr>
          <w:rFonts w:ascii="仿宋" w:hAnsi="仿宋" w:eastAsia="仿宋" w:cs="仿宋_GB2312"/>
          <w:bCs/>
          <w:color w:val="000000" w:themeColor="text1"/>
          <w:sz w:val="32"/>
          <w:szCs w:val="32"/>
          <w:shd w:val="clear" w:color="auto" w:fill="FFFFFF"/>
          <w14:textFill>
            <w14:solidFill>
              <w14:schemeClr w14:val="tx1"/>
            </w14:solidFill>
          </w14:textFill>
        </w:rPr>
        <w:t>所称典当业务，是指当户将其财产或财产权利作为当物质押或者抵押给典当行，取得当金，</w:t>
      </w:r>
      <w:r>
        <w:rPr>
          <w:rFonts w:hint="eastAsia" w:ascii="仿宋" w:hAnsi="仿宋" w:eastAsia="仿宋" w:cs="仿宋_GB2312"/>
          <w:bCs/>
          <w:color w:val="000000" w:themeColor="text1"/>
          <w:sz w:val="32"/>
          <w:szCs w:val="32"/>
          <w:shd w:val="clear" w:color="auto" w:fill="FFFFFF"/>
          <w14:textFill>
            <w14:solidFill>
              <w14:schemeClr w14:val="tx1"/>
            </w14:solidFill>
          </w14:textFill>
        </w:rPr>
        <w:t>交付一定比例费用（下称“综合费用”），</w:t>
      </w:r>
      <w:r>
        <w:rPr>
          <w:rFonts w:ascii="仿宋" w:hAnsi="仿宋" w:eastAsia="仿宋" w:cs="仿宋_GB2312"/>
          <w:bCs/>
          <w:color w:val="000000" w:themeColor="text1"/>
          <w:sz w:val="32"/>
          <w:szCs w:val="32"/>
          <w:shd w:val="clear" w:color="auto" w:fill="FFFFFF"/>
          <w14:textFill>
            <w14:solidFill>
              <w14:schemeClr w14:val="tx1"/>
            </w14:solidFill>
          </w14:textFill>
        </w:rPr>
        <w:t>并在约定期限内偿还当金、支付当金利息</w:t>
      </w:r>
      <w:r>
        <w:rPr>
          <w:rFonts w:hint="eastAsia" w:ascii="仿宋" w:hAnsi="仿宋" w:eastAsia="仿宋" w:cs="仿宋_GB2312"/>
          <w:bCs/>
          <w:color w:val="000000" w:themeColor="text1"/>
          <w:sz w:val="32"/>
          <w:szCs w:val="32"/>
          <w:shd w:val="clear" w:color="auto" w:fill="FFFFFF"/>
          <w14:textFill>
            <w14:solidFill>
              <w14:schemeClr w14:val="tx1"/>
            </w14:solidFill>
          </w14:textFill>
        </w:rPr>
        <w:t>，</w:t>
      </w:r>
      <w:r>
        <w:rPr>
          <w:rFonts w:ascii="仿宋" w:hAnsi="仿宋" w:eastAsia="仿宋" w:cs="仿宋_GB2312"/>
          <w:bCs/>
          <w:color w:val="000000" w:themeColor="text1"/>
          <w:sz w:val="32"/>
          <w:szCs w:val="32"/>
          <w:shd w:val="clear" w:color="auto" w:fill="FFFFFF"/>
          <w14:textFill>
            <w14:solidFill>
              <w14:schemeClr w14:val="tx1"/>
            </w14:solidFill>
          </w14:textFill>
        </w:rPr>
        <w:t>赎回当物的融资活动。</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第三条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在本</w:t>
      </w:r>
      <w:r>
        <w:rPr>
          <w:rFonts w:hint="eastAsia" w:ascii="仿宋" w:hAnsi="仿宋" w:eastAsia="仿宋" w:cs="仿宋_GB2312"/>
          <w:color w:val="000000" w:themeColor="text1"/>
          <w:sz w:val="32"/>
          <w:szCs w:val="32"/>
          <w:shd w:val="clear" w:color="auto" w:fill="FFFFFF"/>
          <w14:textFill>
            <w14:solidFill>
              <w14:schemeClr w14:val="tx1"/>
            </w14:solidFill>
          </w14:textFill>
        </w:rPr>
        <w:t>省</w:t>
      </w:r>
      <w:r>
        <w:rPr>
          <w:rFonts w:ascii="仿宋" w:hAnsi="仿宋" w:eastAsia="仿宋" w:cs="仿宋_GB2312"/>
          <w:color w:val="000000" w:themeColor="text1"/>
          <w:sz w:val="32"/>
          <w:szCs w:val="32"/>
          <w:shd w:val="clear" w:color="auto" w:fill="FFFFFF"/>
          <w14:textFill>
            <w14:solidFill>
              <w14:schemeClr w14:val="tx1"/>
            </w14:solidFill>
          </w14:textFill>
        </w:rPr>
        <w:t>市场监管部门注册登记取得营业执照，</w:t>
      </w:r>
      <w:r>
        <w:rPr>
          <w:rFonts w:hint="eastAsia" w:ascii="仿宋" w:hAnsi="仿宋" w:eastAsia="仿宋" w:cs="仿宋_GB2312"/>
          <w:color w:val="000000" w:themeColor="text1"/>
          <w:sz w:val="32"/>
          <w:szCs w:val="32"/>
          <w:shd w:val="clear" w:color="auto" w:fill="FFFFFF"/>
          <w14:textFill>
            <w14:solidFill>
              <w14:schemeClr w14:val="tx1"/>
            </w14:solidFill>
          </w14:textFill>
        </w:rPr>
        <w:t>并经本省地方金融监督管理局颁发</w:t>
      </w:r>
      <w:r>
        <w:rPr>
          <w:rFonts w:ascii="仿宋" w:hAnsi="仿宋" w:eastAsia="仿宋" w:cs="仿宋_GB2312"/>
          <w:color w:val="000000" w:themeColor="text1"/>
          <w:sz w:val="32"/>
          <w:szCs w:val="32"/>
          <w:shd w:val="clear" w:color="auto" w:fill="FFFFFF"/>
          <w14:textFill>
            <w14:solidFill>
              <w14:schemeClr w14:val="tx1"/>
            </w14:solidFill>
          </w14:textFill>
        </w:rPr>
        <w:t>《典当经营许可证》（下称许可证）的典当行及其从事的典当经营业务，适用本</w:t>
      </w:r>
      <w:r>
        <w:rPr>
          <w:rFonts w:hint="eastAsia" w:ascii="仿宋" w:hAnsi="仿宋" w:eastAsia="仿宋" w:cs="仿宋_GB2312"/>
          <w:color w:val="000000" w:themeColor="text1"/>
          <w:sz w:val="32"/>
          <w:szCs w:val="32"/>
          <w:shd w:val="clear" w:color="auto" w:fill="FFFFFF"/>
          <w14:textFill>
            <w14:solidFill>
              <w14:schemeClr w14:val="tx1"/>
            </w14:solidFill>
          </w14:textFill>
        </w:rPr>
        <w:t>细则</w:t>
      </w:r>
      <w:r>
        <w:rPr>
          <w:rFonts w:ascii="仿宋" w:hAnsi="仿宋" w:eastAsia="仿宋" w:cs="仿宋_GB2312"/>
          <w:color w:val="000000" w:themeColor="text1"/>
          <w:sz w:val="32"/>
          <w:szCs w:val="32"/>
          <w:shd w:val="clear" w:color="auto" w:fill="FFFFFF"/>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 xml:space="preserve">第四条  </w:t>
      </w:r>
      <w:r>
        <w:rPr>
          <w:rFonts w:hint="eastAsia" w:ascii="仿宋" w:hAnsi="仿宋" w:eastAsia="仿宋" w:cs="仿宋_GB2312"/>
          <w:color w:val="000000" w:themeColor="text1"/>
          <w:sz w:val="32"/>
          <w:szCs w:val="32"/>
          <w:shd w:val="clear" w:color="auto" w:fill="FFFFFF"/>
          <w14:textFill>
            <w14:solidFill>
              <w14:schemeClr w14:val="tx1"/>
            </w14:solidFill>
          </w14:textFill>
        </w:rPr>
        <w:t>省地方金融监督管理局是全省典当行监管部门，负责制定全省典当行监管制度及政策，组织、协调、指导全省典当行监督管理、风险防范与处置工作。</w:t>
      </w:r>
    </w:p>
    <w:p>
      <w:pPr>
        <w:pStyle w:val="5"/>
        <w:widowControl/>
        <w:shd w:val="clear" w:color="auto" w:fill="FFFFFF"/>
        <w:adjustRightInd w:val="0"/>
        <w:snapToGrid w:val="0"/>
        <w:spacing w:before="0" w:beforeAutospacing="0" w:after="0" w:afterAutospacing="0" w:line="580" w:lineRule="exact"/>
        <w:ind w:firstLine="640" w:firstLineChars="200"/>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市（州）、县（市、区）地方金融工作局（金融办）或承担相应监督管理职责的政府有关部门（以下简称市、县级地方金融监督管理部门），依照相关规定按属地原则负责典当行的设立、变更、退出以及日常监管、风险防范与处置等具体工作。</w:t>
      </w:r>
    </w:p>
    <w:p>
      <w:pPr>
        <w:pStyle w:val="5"/>
        <w:widowControl/>
        <w:shd w:val="clear" w:color="auto" w:fill="FFFFFF"/>
        <w:adjustRightInd w:val="0"/>
        <w:snapToGrid w:val="0"/>
        <w:spacing w:before="0" w:beforeAutospacing="0" w:after="0" w:afterAutospacing="0" w:line="580" w:lineRule="exact"/>
        <w:ind w:firstLine="640" w:firstLineChars="200"/>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各级地方金融监督管理部门应加强与人行、银保监、证监、市场监管、公安以及其他相关政府部门的信息共享，强化监管协调，形成监管合力。</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第五条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典当行应坚守服务小微企业、个体工商户和居民个人的市场定位，充分发挥决策链短、市场响应快等优势，实现与客户的深度融合、共同发展。</w:t>
      </w:r>
      <w:r>
        <w:rPr>
          <w:rFonts w:hint="eastAsia" w:ascii="仿宋" w:hAnsi="仿宋" w:eastAsia="仿宋" w:cs="仿宋_GB2312"/>
          <w:color w:val="000000" w:themeColor="text1"/>
          <w:sz w:val="32"/>
          <w:szCs w:val="32"/>
          <w14:textFill>
            <w14:solidFill>
              <w14:schemeClr w14:val="tx1"/>
            </w14:solidFill>
          </w14:textFill>
        </w:rPr>
        <w:t>典当行应以典当业务为核心主业，以动产质押典当为基础性业务</w:t>
      </w:r>
      <w:r>
        <w:rPr>
          <w:rFonts w:hint="eastAsia" w:ascii="仿宋" w:hAnsi="仿宋" w:eastAsia="仿宋" w:cs="仿宋_GB2312"/>
          <w:color w:val="000000" w:themeColor="text1"/>
          <w:sz w:val="32"/>
          <w:szCs w:val="32"/>
          <w:shd w:val="clear" w:color="auto" w:fill="FFFFFF"/>
          <w14:textFill>
            <w14:solidFill>
              <w14:schemeClr w14:val="tx1"/>
            </w14:solidFill>
          </w14:textFill>
        </w:rPr>
        <w:t>，支持和鼓励典当行进一步做精做强做专动产质押典当业务；逐步压缩房地产典当业务比重，专注细分领域提升鉴定评估能力，培育差异化、特色化竞争优势。</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_GB2312" w:hAnsi="sans-serif" w:eastAsia="仿宋_GB2312"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第六条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省典当行业协会是全省典当行业的自律组织，提供典当行业公共性、基础性支撑服务，依照法律、法规和章程的规定发挥沟通协调和行业自律作用，履行协调、维权、自律、服务职能，配合省地方金融监督管理局开展典当行年审、监管评级、票证管理、理论研究和信息数据报送等工作，开展典当行业文化建设、诚信体系建设、行业标准化建设、从业人员培训、行业纠纷调解和会员权益保护等工作，并接受省地方金融监督管理局指导。</w:t>
      </w:r>
    </w:p>
    <w:p>
      <w:pPr>
        <w:pStyle w:val="5"/>
        <w:widowControl/>
        <w:shd w:val="clear" w:color="auto" w:fill="FFFFFF"/>
        <w:adjustRightInd w:val="0"/>
        <w:snapToGrid w:val="0"/>
        <w:spacing w:before="0" w:beforeAutospacing="0" w:after="0" w:afterAutospacing="0" w:line="580" w:lineRule="exact"/>
        <w:ind w:firstLine="640" w:firstLineChars="200"/>
        <w:jc w:val="both"/>
        <w:rPr>
          <w:rFonts w:ascii="仿宋_GB2312" w:hAnsi="sans-serif" w:eastAsia="仿宋_GB2312" w:cs="仿宋_GB2312"/>
          <w:color w:val="000000" w:themeColor="text1"/>
          <w:sz w:val="32"/>
          <w:szCs w:val="32"/>
          <w:shd w:val="clear" w:color="auto" w:fill="FFFFFF"/>
          <w14:textFill>
            <w14:solidFill>
              <w14:schemeClr w14:val="tx1"/>
            </w14:solidFill>
          </w14:textFill>
        </w:rPr>
      </w:pPr>
    </w:p>
    <w:p>
      <w:pPr>
        <w:pStyle w:val="5"/>
        <w:widowControl/>
        <w:shd w:val="clear" w:color="auto" w:fill="FFFFFF"/>
        <w:adjustRightInd w:val="0"/>
        <w:snapToGrid w:val="0"/>
        <w:spacing w:before="0" w:beforeAutospacing="0" w:after="0" w:afterAutospacing="0" w:line="580" w:lineRule="exact"/>
        <w:ind w:firstLine="1920" w:firstLineChars="600"/>
        <w:jc w:val="both"/>
        <w:rPr>
          <w:rFonts w:ascii="方正黑体_GBK" w:hAnsi="方正黑体_GBK" w:eastAsia="方正黑体_GBK" w:cs="方正黑体_GBK"/>
          <w:color w:val="000000" w:themeColor="text1"/>
          <w:sz w:val="32"/>
          <w:szCs w:val="32"/>
          <w:shd w:val="clear" w:color="auto" w:fill="FFFFFF"/>
          <w14:textFill>
            <w14:solidFill>
              <w14:schemeClr w14:val="tx1"/>
            </w14:solidFill>
          </w14:textFill>
        </w:rPr>
      </w:pPr>
      <w:r>
        <w:rPr>
          <w:rFonts w:hint="eastAsia" w:ascii="方正黑体_GBK" w:hAnsi="方正黑体_GBK" w:eastAsia="方正黑体_GBK" w:cs="方正黑体_GBK"/>
          <w:color w:val="000000" w:themeColor="text1"/>
          <w:sz w:val="32"/>
          <w:szCs w:val="32"/>
          <w:shd w:val="clear" w:color="auto" w:fill="FFFFFF"/>
          <w14:textFill>
            <w14:solidFill>
              <w14:schemeClr w14:val="tx1"/>
            </w14:solidFill>
          </w14:textFill>
        </w:rPr>
        <w:t>第二章  设立、变更与退出</w:t>
      </w:r>
    </w:p>
    <w:p>
      <w:pPr>
        <w:pStyle w:val="5"/>
        <w:widowControl/>
        <w:shd w:val="clear" w:color="auto" w:fill="FFFFFF"/>
        <w:adjustRightInd w:val="0"/>
        <w:snapToGrid w:val="0"/>
        <w:spacing w:before="0" w:beforeAutospacing="0" w:after="0" w:afterAutospacing="0" w:line="580" w:lineRule="exact"/>
        <w:jc w:val="both"/>
        <w:rPr>
          <w:rFonts w:ascii="方正仿宋_GBK" w:hAnsi="方正仿宋_GBK" w:eastAsia="方正仿宋_GBK" w:cs="方正仿宋_GBK"/>
          <w:b/>
          <w:bCs/>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 xml:space="preserve">   </w:t>
      </w:r>
      <w:r>
        <w:rPr>
          <w:rFonts w:hint="eastAsia" w:ascii="方正仿宋_GBK" w:hAnsi="方正仿宋_GBK" w:eastAsia="方正仿宋_GBK" w:cs="方正仿宋_GBK"/>
          <w:b/>
          <w:bCs/>
          <w:color w:val="000000" w:themeColor="text1"/>
          <w:sz w:val="32"/>
          <w:szCs w:val="32"/>
          <w:shd w:val="clear" w:color="auto" w:fill="FFFFFF"/>
          <w14:textFill>
            <w14:solidFill>
              <w14:schemeClr w14:val="tx1"/>
            </w14:solidFill>
          </w14:textFill>
        </w:rPr>
        <w:t xml:space="preserve"> </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 w:hAnsi="仿宋" w:eastAsia="仿宋" w:cs="方正仿宋_GBK"/>
          <w:color w:val="000000" w:themeColor="text1"/>
          <w:sz w:val="32"/>
          <w:szCs w:val="32"/>
          <w:shd w:val="clear" w:color="auto" w:fill="FFFFFF"/>
          <w14:textFill>
            <w14:solidFill>
              <w14:schemeClr w14:val="tx1"/>
            </w14:solidFill>
          </w14:textFill>
        </w:rPr>
      </w:pPr>
      <w:r>
        <w:rPr>
          <w:rFonts w:hint="eastAsia" w:ascii="仿宋" w:hAnsi="仿宋" w:eastAsia="仿宋" w:cs="方正仿宋_GBK"/>
          <w:b/>
          <w:bCs/>
          <w:color w:val="000000" w:themeColor="text1"/>
          <w:sz w:val="32"/>
          <w:szCs w:val="32"/>
          <w:shd w:val="clear" w:color="auto" w:fill="FFFFFF"/>
          <w14:textFill>
            <w14:solidFill>
              <w14:schemeClr w14:val="tx1"/>
            </w14:solidFill>
          </w14:textFill>
        </w:rPr>
        <w:t>第七条</w:t>
      </w:r>
      <w:r>
        <w:rPr>
          <w:rFonts w:hint="eastAsia" w:ascii="仿宋" w:hAnsi="仿宋" w:eastAsia="仿宋" w:cs="方正仿宋_GBK"/>
          <w:color w:val="000000" w:themeColor="text1"/>
          <w:sz w:val="32"/>
          <w:szCs w:val="32"/>
          <w:shd w:val="clear" w:color="auto" w:fill="FFFFFF"/>
          <w14:textFill>
            <w14:solidFill>
              <w14:schemeClr w14:val="tx1"/>
            </w14:solidFill>
          </w14:textFill>
        </w:rPr>
        <w:t xml:space="preserve">  经营典当业务，应当经省地方金融监督管理局批准，典当行的名称中应当标明“典当”字样。</w:t>
      </w:r>
    </w:p>
    <w:p>
      <w:pPr>
        <w:pStyle w:val="5"/>
        <w:widowControl/>
        <w:shd w:val="clear" w:color="auto" w:fill="FFFFFF"/>
        <w:adjustRightInd w:val="0"/>
        <w:snapToGrid w:val="0"/>
        <w:spacing w:before="0" w:beforeAutospacing="0" w:after="0" w:afterAutospacing="0" w:line="580" w:lineRule="exact"/>
        <w:ind w:firstLine="640" w:firstLineChars="200"/>
        <w:jc w:val="both"/>
        <w:rPr>
          <w:rFonts w:ascii="仿宋" w:hAnsi="仿宋" w:eastAsia="仿宋" w:cs="方正仿宋_GBK"/>
          <w:color w:val="000000" w:themeColor="text1"/>
          <w:sz w:val="32"/>
          <w:szCs w:val="32"/>
          <w:shd w:val="clear" w:color="auto" w:fill="FFFFFF"/>
          <w14:textFill>
            <w14:solidFill>
              <w14:schemeClr w14:val="tx1"/>
            </w14:solidFill>
          </w14:textFill>
        </w:rPr>
      </w:pPr>
      <w:r>
        <w:rPr>
          <w:rFonts w:hint="eastAsia" w:ascii="仿宋" w:hAnsi="仿宋" w:eastAsia="仿宋" w:cs="方正仿宋_GBK"/>
          <w:color w:val="000000" w:themeColor="text1"/>
          <w:sz w:val="32"/>
          <w:szCs w:val="32"/>
          <w:shd w:val="clear" w:color="auto" w:fill="FFFFFF"/>
          <w14:textFill>
            <w14:solidFill>
              <w14:schemeClr w14:val="tx1"/>
            </w14:solidFill>
          </w14:textFill>
        </w:rPr>
        <w:t>未经监管部门批准，任何单位和个人不得经营或变相经营典当业务，不得在名称或经营范围中使用“典当”或类似字样。</w:t>
      </w:r>
    </w:p>
    <w:p>
      <w:pPr>
        <w:pStyle w:val="5"/>
        <w:widowControl/>
        <w:shd w:val="clear" w:color="auto" w:fill="FFFFFF"/>
        <w:adjustRightInd w:val="0"/>
        <w:snapToGrid w:val="0"/>
        <w:spacing w:before="0" w:beforeAutospacing="0" w:after="0" w:afterAutospacing="0" w:line="580" w:lineRule="exact"/>
        <w:ind w:firstLine="646"/>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第八条  </w:t>
      </w:r>
      <w:r>
        <w:rPr>
          <w:rFonts w:hint="eastAsia" w:ascii="仿宋" w:hAnsi="仿宋" w:eastAsia="仿宋" w:cs="仿宋_GB2312"/>
          <w:color w:val="000000" w:themeColor="text1"/>
          <w:sz w:val="32"/>
          <w:szCs w:val="32"/>
          <w:shd w:val="clear" w:color="auto" w:fill="FFFFFF"/>
          <w14:textFill>
            <w14:solidFill>
              <w14:schemeClr w14:val="tx1"/>
            </w14:solidFill>
          </w14:textFill>
        </w:rPr>
        <w:t>市、县级地方金融监督管理部门</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应当按照《湖北省典当行设立、变更及退出操作指引（试行）》有关规定的设立条件、材料清单要求，审慎稳妥市场准入，强化实质性审查，严格把关，做好申请设立典当行（含分支机构）的初审。加强股东背景穿透审核，严格审核出资人资金来源合法性，严格审核新进入行业的法人股东及增资法人股东的投资能力与投资资格，防范不符合条件的市场主体以及违法违规渠道资金进入行业。</w:t>
      </w:r>
    </w:p>
    <w:p>
      <w:pPr>
        <w:pStyle w:val="5"/>
        <w:widowControl/>
        <w:shd w:val="clear" w:color="auto" w:fill="FFFFFF"/>
        <w:adjustRightInd w:val="0"/>
        <w:snapToGrid w:val="0"/>
        <w:spacing w:before="0" w:beforeAutospacing="0" w:after="0" w:afterAutospacing="0" w:line="580" w:lineRule="exact"/>
        <w:ind w:firstLine="646"/>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新登记注册的典当行（含分支机构）经营典当业务，应当</w:t>
      </w:r>
      <w:r>
        <w:rPr>
          <w:rFonts w:hint="eastAsia" w:ascii="仿宋" w:hAnsi="仿宋" w:eastAsia="仿宋" w:cs="仿宋_GB2312"/>
          <w:color w:val="000000" w:themeColor="text1"/>
          <w:sz w:val="32"/>
          <w:szCs w:val="32"/>
          <w:shd w:val="clear" w:color="auto" w:fill="FFFFFF"/>
          <w14:textFill>
            <w14:solidFill>
              <w14:schemeClr w14:val="tx1"/>
            </w14:solidFill>
          </w14:textFill>
        </w:rPr>
        <w:t>按照我省典当行设立相关规定在地方金融监督管理部门办理备案后到</w:t>
      </w:r>
      <w:r>
        <w:rPr>
          <w:rFonts w:ascii="仿宋" w:hAnsi="仿宋" w:eastAsia="仿宋" w:cs="仿宋_GB2312"/>
          <w:color w:val="000000" w:themeColor="text1"/>
          <w:sz w:val="32"/>
          <w:szCs w:val="32"/>
          <w:shd w:val="clear" w:color="auto" w:fill="FFFFFF"/>
          <w14:textFill>
            <w14:solidFill>
              <w14:schemeClr w14:val="tx1"/>
            </w14:solidFill>
          </w14:textFill>
        </w:rPr>
        <w:t>市场监管部门注册登记</w:t>
      </w:r>
      <w:r>
        <w:rPr>
          <w:rFonts w:hint="eastAsia" w:ascii="仿宋" w:hAnsi="仿宋" w:eastAsia="仿宋" w:cs="仿宋_GB2312"/>
          <w:color w:val="000000" w:themeColor="text1"/>
          <w:sz w:val="32"/>
          <w:szCs w:val="32"/>
          <w:shd w:val="clear" w:color="auto" w:fill="FFFFFF"/>
          <w14:textFill>
            <w14:solidFill>
              <w14:schemeClr w14:val="tx1"/>
            </w14:solidFill>
          </w14:textFill>
        </w:rPr>
        <w:t>，并在</w:t>
      </w:r>
      <w:r>
        <w:rPr>
          <w:rFonts w:ascii="仿宋" w:hAnsi="仿宋" w:eastAsia="仿宋" w:cs="仿宋_GB2312"/>
          <w:color w:val="000000" w:themeColor="text1"/>
          <w:sz w:val="32"/>
          <w:szCs w:val="32"/>
          <w:shd w:val="clear" w:color="auto" w:fill="FFFFFF"/>
          <w14:textFill>
            <w14:solidFill>
              <w14:schemeClr w14:val="tx1"/>
            </w14:solidFill>
          </w14:textFill>
        </w:rPr>
        <w:t>领取营业执照后30日内向</w:t>
      </w:r>
      <w:r>
        <w:rPr>
          <w:rFonts w:hint="eastAsia" w:ascii="仿宋" w:hAnsi="仿宋" w:eastAsia="仿宋" w:cs="仿宋_GB2312"/>
          <w:color w:val="000000" w:themeColor="text1"/>
          <w:sz w:val="32"/>
          <w:szCs w:val="32"/>
          <w:shd w:val="clear" w:color="auto" w:fill="FFFFFF"/>
          <w14:textFill>
            <w14:solidFill>
              <w14:schemeClr w14:val="tx1"/>
            </w14:solidFill>
          </w14:textFill>
        </w:rPr>
        <w:t>所在地县级</w:t>
      </w:r>
      <w:r>
        <w:rPr>
          <w:rFonts w:ascii="仿宋" w:hAnsi="仿宋" w:eastAsia="仿宋" w:cs="仿宋_GB2312"/>
          <w:color w:val="000000" w:themeColor="text1"/>
          <w:sz w:val="32"/>
          <w:szCs w:val="32"/>
          <w:shd w:val="clear" w:color="auto" w:fill="FFFFFF"/>
          <w14:textFill>
            <w14:solidFill>
              <w14:schemeClr w14:val="tx1"/>
            </w14:solidFill>
          </w14:textFill>
        </w:rPr>
        <w:t>金融</w:t>
      </w:r>
      <w:r>
        <w:rPr>
          <w:rFonts w:hint="eastAsia" w:ascii="仿宋" w:hAnsi="仿宋" w:eastAsia="仿宋" w:cs="仿宋_GB2312"/>
          <w:color w:val="000000" w:themeColor="text1"/>
          <w:sz w:val="32"/>
          <w:szCs w:val="32"/>
          <w:shd w:val="clear" w:color="auto" w:fill="FFFFFF"/>
          <w14:textFill>
            <w14:solidFill>
              <w14:schemeClr w14:val="tx1"/>
            </w14:solidFill>
          </w14:textFill>
        </w:rPr>
        <w:t>监管</w:t>
      </w:r>
      <w:r>
        <w:rPr>
          <w:rFonts w:ascii="仿宋" w:hAnsi="仿宋" w:eastAsia="仿宋" w:cs="仿宋_GB2312"/>
          <w:color w:val="000000" w:themeColor="text1"/>
          <w:sz w:val="32"/>
          <w:szCs w:val="32"/>
          <w:shd w:val="clear" w:color="auto" w:fill="FFFFFF"/>
          <w14:textFill>
            <w14:solidFill>
              <w14:schemeClr w14:val="tx1"/>
            </w14:solidFill>
          </w14:textFill>
        </w:rPr>
        <w:t>部门提交申请材料，经</w:t>
      </w:r>
      <w:r>
        <w:rPr>
          <w:rFonts w:hint="eastAsia" w:ascii="仿宋" w:hAnsi="仿宋" w:eastAsia="仿宋" w:cs="仿宋_GB2312"/>
          <w:color w:val="000000" w:themeColor="text1"/>
          <w:sz w:val="32"/>
          <w:szCs w:val="32"/>
          <w:shd w:val="clear" w:color="auto" w:fill="FFFFFF"/>
          <w14:textFill>
            <w14:solidFill>
              <w14:schemeClr w14:val="tx1"/>
            </w14:solidFill>
          </w14:textFill>
        </w:rPr>
        <w:t>县级</w:t>
      </w:r>
      <w:r>
        <w:rPr>
          <w:rFonts w:ascii="仿宋" w:hAnsi="仿宋" w:eastAsia="仿宋" w:cs="仿宋_GB2312"/>
          <w:color w:val="000000" w:themeColor="text1"/>
          <w:sz w:val="32"/>
          <w:szCs w:val="32"/>
          <w:shd w:val="clear" w:color="auto" w:fill="FFFFFF"/>
          <w14:textFill>
            <w14:solidFill>
              <w14:schemeClr w14:val="tx1"/>
            </w14:solidFill>
          </w14:textFill>
        </w:rPr>
        <w:t>金融</w:t>
      </w:r>
      <w:r>
        <w:rPr>
          <w:rFonts w:hint="eastAsia" w:ascii="仿宋" w:hAnsi="仿宋" w:eastAsia="仿宋" w:cs="仿宋_GB2312"/>
          <w:color w:val="000000" w:themeColor="text1"/>
          <w:sz w:val="32"/>
          <w:szCs w:val="32"/>
          <w:shd w:val="clear" w:color="auto" w:fill="FFFFFF"/>
          <w14:textFill>
            <w14:solidFill>
              <w14:schemeClr w14:val="tx1"/>
            </w14:solidFill>
          </w14:textFill>
        </w:rPr>
        <w:t>监管</w:t>
      </w:r>
      <w:r>
        <w:rPr>
          <w:rFonts w:ascii="仿宋" w:hAnsi="仿宋" w:eastAsia="仿宋" w:cs="仿宋_GB2312"/>
          <w:color w:val="000000" w:themeColor="text1"/>
          <w:sz w:val="32"/>
          <w:szCs w:val="32"/>
          <w:shd w:val="clear" w:color="auto" w:fill="FFFFFF"/>
          <w14:textFill>
            <w14:solidFill>
              <w14:schemeClr w14:val="tx1"/>
            </w14:solidFill>
          </w14:textFill>
        </w:rPr>
        <w:t>部门初步审查提出意见</w:t>
      </w:r>
      <w:r>
        <w:rPr>
          <w:rFonts w:hint="eastAsia" w:ascii="仿宋" w:hAnsi="仿宋" w:eastAsia="仿宋" w:cs="仿宋_GB2312"/>
          <w:color w:val="000000" w:themeColor="text1"/>
          <w:sz w:val="32"/>
          <w:szCs w:val="32"/>
          <w:shd w:val="clear" w:color="auto" w:fill="FFFFFF"/>
          <w14:textFill>
            <w14:solidFill>
              <w14:schemeClr w14:val="tx1"/>
            </w14:solidFill>
          </w14:textFill>
        </w:rPr>
        <w:t>、报</w:t>
      </w:r>
      <w:r>
        <w:rPr>
          <w:rFonts w:ascii="仿宋" w:hAnsi="仿宋" w:eastAsia="仿宋" w:cs="仿宋_GB2312"/>
          <w:color w:val="000000" w:themeColor="text1"/>
          <w:sz w:val="32"/>
          <w:szCs w:val="32"/>
          <w:shd w:val="clear" w:color="auto" w:fill="FFFFFF"/>
          <w14:textFill>
            <w14:solidFill>
              <w14:schemeClr w14:val="tx1"/>
            </w14:solidFill>
          </w14:textFill>
        </w:rPr>
        <w:t>市地方金融</w:t>
      </w:r>
      <w:r>
        <w:rPr>
          <w:rFonts w:hint="eastAsia" w:ascii="仿宋" w:hAnsi="仿宋" w:eastAsia="仿宋" w:cs="仿宋_GB2312"/>
          <w:color w:val="000000" w:themeColor="text1"/>
          <w:sz w:val="32"/>
          <w:szCs w:val="32"/>
          <w:shd w:val="clear" w:color="auto" w:fill="FFFFFF"/>
          <w14:textFill>
            <w14:solidFill>
              <w14:schemeClr w14:val="tx1"/>
            </w14:solidFill>
          </w14:textFill>
        </w:rPr>
        <w:t>监督管理</w:t>
      </w:r>
      <w:r>
        <w:rPr>
          <w:rFonts w:ascii="仿宋" w:hAnsi="仿宋" w:eastAsia="仿宋" w:cs="仿宋_GB2312"/>
          <w:color w:val="000000" w:themeColor="text1"/>
          <w:sz w:val="32"/>
          <w:szCs w:val="32"/>
          <w:shd w:val="clear" w:color="auto" w:fill="FFFFFF"/>
          <w14:textFill>
            <w14:solidFill>
              <w14:schemeClr w14:val="tx1"/>
            </w14:solidFill>
          </w14:textFill>
        </w:rPr>
        <w:t>部门</w:t>
      </w:r>
      <w:r>
        <w:rPr>
          <w:rFonts w:hint="eastAsia" w:ascii="仿宋" w:hAnsi="仿宋" w:eastAsia="仿宋" w:cs="仿宋_GB2312"/>
          <w:color w:val="000000" w:themeColor="text1"/>
          <w:sz w:val="32"/>
          <w:szCs w:val="32"/>
          <w:shd w:val="clear" w:color="auto" w:fill="FFFFFF"/>
          <w14:textFill>
            <w14:solidFill>
              <w14:schemeClr w14:val="tx1"/>
            </w14:solidFill>
          </w14:textFill>
        </w:rPr>
        <w:t>审核</w:t>
      </w:r>
      <w:r>
        <w:rPr>
          <w:rFonts w:ascii="仿宋" w:hAnsi="仿宋" w:eastAsia="仿宋" w:cs="仿宋_GB2312"/>
          <w:color w:val="000000" w:themeColor="text1"/>
          <w:sz w:val="32"/>
          <w:szCs w:val="32"/>
          <w:shd w:val="clear" w:color="auto" w:fill="FFFFFF"/>
          <w14:textFill>
            <w14:solidFill>
              <w14:schemeClr w14:val="tx1"/>
            </w14:solidFill>
          </w14:textFill>
        </w:rPr>
        <w:t>批准</w:t>
      </w:r>
      <w:r>
        <w:rPr>
          <w:rFonts w:hint="eastAsia" w:ascii="仿宋" w:hAnsi="仿宋" w:eastAsia="仿宋" w:cs="仿宋_GB2312"/>
          <w:color w:val="000000" w:themeColor="text1"/>
          <w:sz w:val="32"/>
          <w:szCs w:val="32"/>
          <w:shd w:val="clear" w:color="auto" w:fill="FFFFFF"/>
          <w14:textFill>
            <w14:solidFill>
              <w14:schemeClr w14:val="tx1"/>
            </w14:solidFill>
          </w14:textFill>
        </w:rPr>
        <w:t>并经省地方金融监督管理局备案通过后</w:t>
      </w:r>
      <w:r>
        <w:rPr>
          <w:rFonts w:ascii="仿宋" w:hAnsi="仿宋" w:eastAsia="仿宋" w:cs="仿宋_GB2312"/>
          <w:color w:val="000000" w:themeColor="text1"/>
          <w:sz w:val="32"/>
          <w:szCs w:val="32"/>
          <w:shd w:val="clear" w:color="auto" w:fill="FFFFFF"/>
          <w14:textFill>
            <w14:solidFill>
              <w14:schemeClr w14:val="tx1"/>
            </w14:solidFill>
          </w14:textFill>
        </w:rPr>
        <w:t>，颁发许可证。典当行应书面承诺在取得许可证前不从事典当业务活动。</w:t>
      </w:r>
    </w:p>
    <w:p>
      <w:pPr>
        <w:pStyle w:val="5"/>
        <w:widowControl/>
        <w:shd w:val="clear" w:color="auto" w:fill="FFFFFF"/>
        <w:adjustRightInd w:val="0"/>
        <w:snapToGrid w:val="0"/>
        <w:spacing w:before="0" w:beforeAutospacing="0" w:after="0" w:afterAutospacing="0" w:line="580" w:lineRule="exact"/>
        <w:ind w:firstLine="646"/>
        <w:jc w:val="both"/>
        <w:rPr>
          <w:rStyle w:val="7"/>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典当行设立初审情况，县级地方金融监督管理部门须报本级地方人民政府分管领导签字同意后上报。</w:t>
      </w:r>
    </w:p>
    <w:p>
      <w:pPr>
        <w:pStyle w:val="5"/>
        <w:widowControl/>
        <w:shd w:val="clear" w:color="auto" w:fill="FFFFFF"/>
        <w:adjustRightInd w:val="0"/>
        <w:snapToGrid w:val="0"/>
        <w:spacing w:before="0" w:beforeAutospacing="0" w:after="0" w:afterAutospacing="0" w:line="580" w:lineRule="exact"/>
        <w:ind w:firstLine="643"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第九条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市、县级地方金融监督管理部门</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应当协调当地市场监管部门，对办理登记注册典当行在规定期限内向地方金融监督管理部门申请《许可证》。未提交申请或者申请未被批准的典当行，</w:t>
      </w:r>
      <w:r>
        <w:rPr>
          <w:rFonts w:hint="eastAsia" w:ascii="仿宋" w:hAnsi="仿宋" w:eastAsia="仿宋" w:cs="仿宋_GB2312"/>
          <w:color w:val="000000" w:themeColor="text1"/>
          <w:sz w:val="32"/>
          <w:szCs w:val="32"/>
          <w:shd w:val="clear" w:color="auto" w:fill="FFFFFF"/>
          <w14:textFill>
            <w14:solidFill>
              <w14:schemeClr w14:val="tx1"/>
            </w14:solidFill>
          </w14:textFill>
        </w:rPr>
        <w:t>市、县级地方金融监督管理部门</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应当协调当地市场监管部门劝导其变更名称、业务范围或者注销；对拒不配合的，依法向社会公示。</w:t>
      </w:r>
    </w:p>
    <w:p>
      <w:pPr>
        <w:pStyle w:val="5"/>
        <w:widowControl/>
        <w:shd w:val="clear" w:color="auto" w:fill="FFFFFF"/>
        <w:adjustRightInd w:val="0"/>
        <w:snapToGrid w:val="0"/>
        <w:spacing w:before="0" w:beforeAutospacing="0" w:after="0" w:afterAutospacing="0" w:line="580" w:lineRule="exact"/>
        <w:ind w:firstLine="643"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 xml:space="preserve">第十条 </w:t>
      </w:r>
      <w:r>
        <w:rPr>
          <w:rFonts w:hint="eastAsia" w:ascii="仿宋" w:hAnsi="仿宋" w:eastAsia="仿宋" w:cs="仿宋_GB2312"/>
          <w:color w:val="000000" w:themeColor="text1"/>
          <w:sz w:val="32"/>
          <w:szCs w:val="32"/>
          <w:shd w:val="clear" w:color="auto" w:fill="FFFFFF"/>
          <w14:textFill>
            <w14:solidFill>
              <w14:schemeClr w14:val="tx1"/>
            </w14:solidFill>
          </w14:textFill>
        </w:rPr>
        <w:t>各级地方金融监督管理</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部门应当按照《湖北省典当行设立、变更及退出操作指引（试行）》有关规定的条件、材料要求和程序，严格审核股权变更等重大变更事项。</w:t>
      </w:r>
      <w:r>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t xml:space="preserve"> </w:t>
      </w:r>
    </w:p>
    <w:p>
      <w:pPr>
        <w:pStyle w:val="5"/>
        <w:widowControl/>
        <w:shd w:val="clear" w:color="auto" w:fill="FFFFFF"/>
        <w:adjustRightInd w:val="0"/>
        <w:snapToGrid w:val="0"/>
        <w:spacing w:before="0" w:beforeAutospacing="0" w:after="0" w:afterAutospacing="0" w:line="580" w:lineRule="exact"/>
        <w:ind w:firstLine="643"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color w:val="000000" w:themeColor="text1"/>
          <w:sz w:val="32"/>
          <w:szCs w:val="32"/>
          <w:shd w:val="clear" w:color="auto" w:fill="FFFFFF"/>
          <w14:textFill>
            <w14:solidFill>
              <w14:schemeClr w14:val="tx1"/>
            </w14:solidFill>
          </w14:textFill>
        </w:rPr>
        <w:t xml:space="preserve">第十一条  </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各级地方金融监督管理部门要按照“总量统筹、提高质量、合理布局、防控风险”的原则，合理规划辖区内典当行布局，推动当地典当行行业规范与发展。</w:t>
      </w:r>
    </w:p>
    <w:p>
      <w:pPr>
        <w:pStyle w:val="5"/>
        <w:widowControl/>
        <w:shd w:val="clear" w:color="auto" w:fill="FFFFFF"/>
        <w:adjustRightInd w:val="0"/>
        <w:snapToGrid w:val="0"/>
        <w:spacing w:before="0" w:beforeAutospacing="0" w:after="0" w:afterAutospacing="0" w:line="580" w:lineRule="exact"/>
        <w:ind w:firstLine="643"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color w:val="000000" w:themeColor="text1"/>
          <w:sz w:val="32"/>
          <w:szCs w:val="32"/>
          <w:shd w:val="clear" w:color="auto" w:fill="FFFFFF"/>
          <w14:textFill>
            <w14:solidFill>
              <w14:schemeClr w14:val="tx1"/>
            </w14:solidFill>
          </w14:textFill>
        </w:rPr>
        <w:t>第十二条</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 xml:space="preserve">  持有许可证的典当行及其分公司以下事项发生变更的，应当报省地方金融监督管理局备案通过。</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（一）变更公司名称；</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（二）变更注册资本；</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（三）控股股东股权转让、导致控股股东变化的股权转让；</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（四）变更法定代表人；</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（五）变更经营范围；</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（六）跨市级行政区域变更注册地。</w:t>
      </w:r>
    </w:p>
    <w:p>
      <w:pPr>
        <w:pStyle w:val="5"/>
        <w:widowControl/>
        <w:shd w:val="clear" w:color="auto" w:fill="FFFFFF"/>
        <w:adjustRightInd w:val="0"/>
        <w:snapToGrid w:val="0"/>
        <w:spacing w:before="0" w:beforeAutospacing="0" w:after="0" w:afterAutospacing="0" w:line="580" w:lineRule="exact"/>
        <w:ind w:firstLine="643"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color w:val="000000" w:themeColor="text1"/>
          <w:sz w:val="32"/>
          <w:szCs w:val="32"/>
          <w:shd w:val="clear" w:color="auto" w:fill="FFFFFF"/>
          <w14:textFill>
            <w14:solidFill>
              <w14:schemeClr w14:val="tx1"/>
            </w14:solidFill>
          </w14:textFill>
        </w:rPr>
        <w:t>第十三条</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 xml:space="preserve">  典当行及其分公司以下事项发生变更的，应当报市级地方金融监督管理部门批准：</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（一）一般股权转让（不含控股股东股权转让）；</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（二）除法定代表人以外的其他董事、监事及高级管理人员变更；</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（三）市级行政区域内变更注册地；</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（四）分支机构名称、负责人或住所变更。</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市级地方金融监督管理部门应当自批准之日起5个工作日内向省地方金融监督管理局报送变更事项。</w:t>
      </w:r>
    </w:p>
    <w:p>
      <w:pPr>
        <w:pStyle w:val="5"/>
        <w:widowControl/>
        <w:shd w:val="clear" w:color="auto" w:fill="FFFFFF"/>
        <w:adjustRightInd w:val="0"/>
        <w:snapToGrid w:val="0"/>
        <w:spacing w:before="0" w:beforeAutospacing="0" w:after="0" w:afterAutospacing="0" w:line="580" w:lineRule="exact"/>
        <w:ind w:firstLine="643"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color w:val="000000" w:themeColor="text1"/>
          <w:sz w:val="32"/>
          <w:szCs w:val="32"/>
          <w:shd w:val="clear" w:color="auto" w:fill="FFFFFF"/>
          <w14:textFill>
            <w14:solidFill>
              <w14:schemeClr w14:val="tx1"/>
            </w14:solidFill>
          </w14:textFill>
        </w:rPr>
        <w:t>第十四条</w:t>
      </w:r>
      <w:r>
        <w:rPr>
          <w:rStyle w:val="7"/>
          <w:rFonts w:eastAsia="仿宋" w:cs="Calibri"/>
          <w:b w:val="0"/>
          <w:bCs/>
          <w:color w:val="000000" w:themeColor="text1"/>
          <w:sz w:val="32"/>
          <w:szCs w:val="32"/>
          <w:shd w:val="clear" w:color="auto" w:fill="FFFFFF"/>
          <w14:textFill>
            <w14:solidFill>
              <w14:schemeClr w14:val="tx1"/>
            </w14:solidFill>
          </w14:textFill>
        </w:rPr>
        <w:t> </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 xml:space="preserve"> 典当行解散的，应当成立清算组进行清算，依法对相关业务承接和债务清偿作出明确安排，并接受县级地方金融监督管理部门的指导和监督。清算结束后，典当行应当将许可证逐级上交省地方金融监督管理局注销。</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color w:val="000000" w:themeColor="text1"/>
          <w:sz w:val="32"/>
          <w:szCs w:val="32"/>
          <w:shd w:val="clear" w:color="auto" w:fill="FFFFFF"/>
          <w14:textFill>
            <w14:solidFill>
              <w14:schemeClr w14:val="tx1"/>
            </w14:solidFill>
          </w14:textFill>
        </w:rPr>
        <w:t>第十五条</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 xml:space="preserve"> </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典当行出现下列情形的，</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属地地方金融监督管理部门应当积极引导其主动退出行业，拒不退出的，由省地方金融监督管理局</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依法</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注销</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许可证：</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（一）</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按照相关规定</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被认定为“失联”“空壳”</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或发生重大风险隐患无法消除的</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二</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）拒不参加</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年审和</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现场检查的；</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三</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）营业执照被吊销、注销或者被法院宣告破产。</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属地地方金融监督管理部门应及时应对，逐级报省地方金融监督管理局，经省地方金融监督管理局公告后，注销其典当经营资格，收回典当经营许可证。</w:t>
      </w:r>
    </w:p>
    <w:p>
      <w:pPr>
        <w:pStyle w:val="5"/>
        <w:widowControl/>
        <w:shd w:val="clear" w:color="auto" w:fill="FFFFFF"/>
        <w:adjustRightInd w:val="0"/>
        <w:snapToGrid w:val="0"/>
        <w:spacing w:before="0" w:beforeAutospacing="0" w:after="0" w:afterAutospacing="0" w:line="580" w:lineRule="exact"/>
        <w:ind w:firstLine="643" w:firstLineChars="200"/>
        <w:jc w:val="both"/>
        <w:rPr>
          <w:rStyle w:val="7"/>
          <w:rFonts w:ascii="仿宋" w:hAnsi="仿宋" w:eastAsia="仿宋" w:cs="方正仿宋_GBK"/>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方正仿宋_GBK"/>
          <w:color w:val="000000" w:themeColor="text1"/>
          <w:sz w:val="32"/>
          <w:szCs w:val="32"/>
          <w:shd w:val="clear" w:color="auto" w:fill="FFFFFF"/>
          <w14:textFill>
            <w14:solidFill>
              <w14:schemeClr w14:val="tx1"/>
            </w14:solidFill>
          </w14:textFill>
        </w:rPr>
        <w:t>第十六条</w:t>
      </w:r>
      <w:r>
        <w:rPr>
          <w:rStyle w:val="7"/>
          <w:rFonts w:hint="eastAsia" w:ascii="仿宋" w:hAnsi="仿宋" w:eastAsia="仿宋" w:cs="方正仿宋_GBK"/>
          <w:b w:val="0"/>
          <w:bCs/>
          <w:color w:val="000000" w:themeColor="text1"/>
          <w:sz w:val="32"/>
          <w:szCs w:val="32"/>
          <w:shd w:val="clear" w:color="auto" w:fill="FFFFFF"/>
          <w14:textFill>
            <w14:solidFill>
              <w14:schemeClr w14:val="tx1"/>
            </w14:solidFill>
          </w14:textFill>
        </w:rPr>
        <w:t xml:space="preserve">  省地方金融监督管理局和市级地方金融监督管理部门建立典当行信息公示制度，在官方门户网站及时公布相关信息。市级地方金融监督管理部门引导县级地方金融监督管理部门建立典当行信息公示制度。</w:t>
      </w:r>
    </w:p>
    <w:p>
      <w:pPr>
        <w:pStyle w:val="5"/>
        <w:widowControl/>
        <w:shd w:val="clear" w:color="auto" w:fill="FFFFFF"/>
        <w:adjustRightInd w:val="0"/>
        <w:snapToGrid w:val="0"/>
        <w:spacing w:before="0" w:beforeAutospacing="0" w:after="0" w:afterAutospacing="0" w:line="580" w:lineRule="exact"/>
        <w:ind w:left="600" w:firstLine="2070"/>
        <w:jc w:val="both"/>
        <w:rPr>
          <w:rFonts w:ascii="sans-serif" w:hAnsi="sans-serif" w:eastAsia="sans-serif" w:cs="sans-serif"/>
          <w:color w:val="000000" w:themeColor="text1"/>
          <w:sz w:val="32"/>
          <w:szCs w:val="32"/>
          <w14:textFill>
            <w14:solidFill>
              <w14:schemeClr w14:val="tx1"/>
            </w14:solidFill>
          </w14:textFill>
        </w:rPr>
      </w:pPr>
      <w:r>
        <w:rPr>
          <w:rFonts w:ascii="sans-serif" w:hAnsi="sans-serif" w:eastAsia="sans-serif" w:cs="sans-serif"/>
          <w:color w:val="000000" w:themeColor="text1"/>
          <w:sz w:val="32"/>
          <w:szCs w:val="32"/>
          <w:shd w:val="clear" w:color="auto" w:fill="FFFFFF"/>
          <w14:textFill>
            <w14:solidFill>
              <w14:schemeClr w14:val="tx1"/>
            </w14:solidFill>
          </w14:textFill>
        </w:rPr>
        <w:t> </w:t>
      </w:r>
    </w:p>
    <w:p>
      <w:pPr>
        <w:pStyle w:val="5"/>
        <w:widowControl/>
        <w:shd w:val="clear" w:color="auto" w:fill="FFFFFF"/>
        <w:adjustRightInd w:val="0"/>
        <w:snapToGrid w:val="0"/>
        <w:spacing w:before="0" w:beforeAutospacing="0" w:after="0" w:afterAutospacing="0" w:line="580" w:lineRule="exact"/>
        <w:ind w:left="600" w:firstLine="2070"/>
        <w:jc w:val="both"/>
        <w:rPr>
          <w:rFonts w:ascii="sans-serif" w:hAnsi="sans-serif" w:eastAsia="sans-serif" w:cs="sans-serif"/>
          <w:color w:val="000000" w:themeColor="text1"/>
          <w:sz w:val="32"/>
          <w:szCs w:val="32"/>
          <w14:textFill>
            <w14:solidFill>
              <w14:schemeClr w14:val="tx1"/>
            </w14:solidFill>
          </w14:textFill>
        </w:rPr>
      </w:pPr>
      <w:r>
        <w:rPr>
          <w:rFonts w:ascii="黑体" w:hAnsi="宋体" w:eastAsia="黑体" w:cs="黑体"/>
          <w:color w:val="000000" w:themeColor="text1"/>
          <w:sz w:val="32"/>
          <w:szCs w:val="32"/>
          <w:shd w:val="clear" w:color="auto" w:fill="FFFFFF"/>
          <w14:textFill>
            <w14:solidFill>
              <w14:schemeClr w14:val="tx1"/>
            </w14:solidFill>
          </w14:textFill>
        </w:rPr>
        <w:t>第三章</w:t>
      </w:r>
      <w:r>
        <w:rPr>
          <w:rFonts w:ascii="sans-serif" w:hAnsi="sans-serif" w:eastAsia="sans-serif" w:cs="sans-serif"/>
          <w:color w:val="000000" w:themeColor="text1"/>
          <w:sz w:val="32"/>
          <w:szCs w:val="32"/>
          <w:shd w:val="clear" w:color="auto" w:fill="FFFFFF"/>
          <w14:textFill>
            <w14:solidFill>
              <w14:schemeClr w14:val="tx1"/>
            </w14:solidFill>
          </w14:textFill>
        </w:rPr>
        <w:t>  </w:t>
      </w:r>
      <w:r>
        <w:rPr>
          <w:rFonts w:hint="eastAsia" w:ascii="黑体" w:hAnsi="宋体" w:eastAsia="黑体" w:cs="黑体"/>
          <w:color w:val="000000" w:themeColor="text1"/>
          <w:sz w:val="32"/>
          <w:szCs w:val="32"/>
          <w:shd w:val="clear" w:color="auto" w:fill="FFFFFF"/>
          <w14:textFill>
            <w14:solidFill>
              <w14:schemeClr w14:val="tx1"/>
            </w14:solidFill>
          </w14:textFill>
        </w:rPr>
        <w:t>业务规则</w:t>
      </w:r>
      <w:r>
        <w:rPr>
          <w:rFonts w:ascii="sans-serif" w:hAnsi="sans-serif" w:eastAsia="sans-serif" w:cs="sans-serif"/>
          <w:color w:val="000000" w:themeColor="text1"/>
          <w:sz w:val="32"/>
          <w:szCs w:val="32"/>
          <w:shd w:val="clear" w:color="auto" w:fill="FFFFFF"/>
          <w14:textFill>
            <w14:solidFill>
              <w14:schemeClr w14:val="tx1"/>
            </w14:solidFill>
          </w14:textFill>
        </w:rPr>
        <w:t> </w:t>
      </w:r>
    </w:p>
    <w:p>
      <w:pPr>
        <w:pStyle w:val="5"/>
        <w:widowControl/>
        <w:shd w:val="clear" w:color="auto" w:fill="FFFFFF"/>
        <w:adjustRightInd w:val="0"/>
        <w:snapToGrid w:val="0"/>
        <w:spacing w:before="0" w:beforeAutospacing="0" w:after="0" w:afterAutospacing="0" w:line="580" w:lineRule="exact"/>
        <w:ind w:firstLine="646"/>
        <w:jc w:val="both"/>
        <w:rPr>
          <w:rStyle w:val="7"/>
          <w:rFonts w:ascii="仿宋_GB2312" w:hAnsi="sans-serif" w:eastAsia="仿宋_GB2312" w:cs="仿宋_GB2312"/>
          <w:color w:val="000000" w:themeColor="text1"/>
          <w:sz w:val="32"/>
          <w:szCs w:val="32"/>
          <w:shd w:val="clear" w:color="auto" w:fill="FFFFFF"/>
          <w14:textFill>
            <w14:solidFill>
              <w14:schemeClr w14:val="tx1"/>
            </w14:solidFill>
          </w14:textFill>
        </w:rPr>
      </w:pPr>
    </w:p>
    <w:p>
      <w:pPr>
        <w:pStyle w:val="5"/>
        <w:widowControl/>
        <w:shd w:val="clear" w:color="auto" w:fill="FFFFFF"/>
        <w:adjustRightInd w:val="0"/>
        <w:snapToGrid w:val="0"/>
        <w:spacing w:before="0" w:beforeAutospacing="0" w:after="0" w:afterAutospacing="0" w:line="580" w:lineRule="exact"/>
        <w:ind w:firstLine="646"/>
        <w:jc w:val="both"/>
        <w:rPr>
          <w:rFonts w:ascii="仿宋" w:hAnsi="仿宋" w:eastAsia="仿宋" w:cs="sans-serif"/>
          <w:color w:val="000000" w:themeColor="text1"/>
          <w:sz w:val="32"/>
          <w:szCs w:val="32"/>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十七</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典当行可以</w:t>
      </w:r>
      <w:r>
        <w:rPr>
          <w:rFonts w:hint="eastAsia" w:ascii="仿宋" w:hAnsi="仿宋" w:eastAsia="仿宋" w:cs="仿宋_GB2312"/>
          <w:color w:val="000000" w:themeColor="text1"/>
          <w:sz w:val="32"/>
          <w:szCs w:val="32"/>
          <w:shd w:val="clear" w:color="auto" w:fill="FFFFFF"/>
          <w14:textFill>
            <w14:solidFill>
              <w14:schemeClr w14:val="tx1"/>
            </w14:solidFill>
          </w14:textFill>
        </w:rPr>
        <w:t>依法</w:t>
      </w:r>
      <w:r>
        <w:rPr>
          <w:rFonts w:ascii="仿宋" w:hAnsi="仿宋" w:eastAsia="仿宋" w:cs="仿宋_GB2312"/>
          <w:color w:val="000000" w:themeColor="text1"/>
          <w:sz w:val="32"/>
          <w:szCs w:val="32"/>
          <w:shd w:val="clear" w:color="auto" w:fill="FFFFFF"/>
          <w14:textFill>
            <w14:solidFill>
              <w14:schemeClr w14:val="tx1"/>
            </w14:solidFill>
          </w14:textFill>
        </w:rPr>
        <w:t>经营下列业务：</w:t>
      </w:r>
    </w:p>
    <w:p>
      <w:pPr>
        <w:pStyle w:val="5"/>
        <w:widowControl/>
        <w:shd w:val="clear" w:color="auto" w:fill="FFFFFF"/>
        <w:adjustRightInd w:val="0"/>
        <w:snapToGrid w:val="0"/>
        <w:spacing w:before="0" w:beforeAutospacing="0" w:after="0" w:afterAutospacing="0" w:line="580" w:lineRule="exact"/>
        <w:ind w:firstLine="646"/>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（一）动产质押典当业务；</w:t>
      </w:r>
    </w:p>
    <w:p>
      <w:pPr>
        <w:pStyle w:val="5"/>
        <w:widowControl/>
        <w:shd w:val="clear" w:color="auto" w:fill="FFFFFF"/>
        <w:adjustRightInd w:val="0"/>
        <w:snapToGrid w:val="0"/>
        <w:spacing w:before="0" w:beforeAutospacing="0" w:after="0" w:afterAutospacing="0" w:line="580" w:lineRule="exact"/>
        <w:ind w:firstLine="646"/>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（二）财产权利质押典当业务；</w:t>
      </w:r>
    </w:p>
    <w:p>
      <w:pPr>
        <w:pStyle w:val="5"/>
        <w:widowControl/>
        <w:shd w:val="clear" w:color="auto" w:fill="FFFFFF"/>
        <w:adjustRightInd w:val="0"/>
        <w:snapToGrid w:val="0"/>
        <w:spacing w:before="0" w:beforeAutospacing="0" w:after="0" w:afterAutospacing="0" w:line="580" w:lineRule="exact"/>
        <w:ind w:firstLine="646"/>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（三）房地产（外省市的房地产或者未取得商品房预售许可证的在建工程除外）抵押典当业务；</w:t>
      </w:r>
    </w:p>
    <w:p>
      <w:pPr>
        <w:pStyle w:val="5"/>
        <w:widowControl/>
        <w:shd w:val="clear" w:color="auto" w:fill="FFFFFF"/>
        <w:adjustRightInd w:val="0"/>
        <w:snapToGrid w:val="0"/>
        <w:spacing w:before="0" w:beforeAutospacing="0" w:after="0" w:afterAutospacing="0" w:line="580" w:lineRule="exact"/>
        <w:ind w:firstLine="646"/>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（四）绝当物品的变卖；</w:t>
      </w:r>
    </w:p>
    <w:p>
      <w:pPr>
        <w:pStyle w:val="5"/>
        <w:widowControl/>
        <w:shd w:val="clear" w:color="auto" w:fill="FFFFFF"/>
        <w:adjustRightInd w:val="0"/>
        <w:snapToGrid w:val="0"/>
        <w:spacing w:before="0" w:beforeAutospacing="0" w:after="0" w:afterAutospacing="0" w:line="580" w:lineRule="exact"/>
        <w:ind w:firstLine="646"/>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（五）鉴定评估及咨询服务；</w:t>
      </w:r>
    </w:p>
    <w:p>
      <w:pPr>
        <w:pStyle w:val="5"/>
        <w:widowControl/>
        <w:shd w:val="clear" w:color="auto" w:fill="FFFFFF"/>
        <w:adjustRightInd w:val="0"/>
        <w:snapToGrid w:val="0"/>
        <w:spacing w:before="0" w:beforeAutospacing="0" w:after="0" w:afterAutospacing="0" w:line="580" w:lineRule="exact"/>
        <w:ind w:firstLine="646"/>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（六）国家有关部门认可的其他业务。</w:t>
      </w:r>
    </w:p>
    <w:p>
      <w:pPr>
        <w:pStyle w:val="5"/>
        <w:widowControl/>
        <w:shd w:val="clear" w:color="auto" w:fill="FFFFFF"/>
        <w:adjustRightInd w:val="0"/>
        <w:snapToGrid w:val="0"/>
        <w:spacing w:before="0" w:beforeAutospacing="0" w:after="0" w:afterAutospacing="0" w:line="580" w:lineRule="exact"/>
        <w:ind w:firstLine="600"/>
        <w:jc w:val="both"/>
        <w:rPr>
          <w:rFonts w:ascii="仿宋" w:hAnsi="仿宋" w:eastAsia="仿宋" w:cs="sans-serif"/>
          <w:color w:val="000000" w:themeColor="text1"/>
          <w:sz w:val="32"/>
          <w:szCs w:val="32"/>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十八</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典当行不得经营下列业务或有下列行为：</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（一）集资、吸收存款或者变相吸收存款；</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（二）与其他典当行拆借或变相拆借资金；</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（三）</w:t>
      </w:r>
      <w:r>
        <w:rPr>
          <w:rFonts w:hint="eastAsia" w:ascii="仿宋" w:hAnsi="仿宋" w:eastAsia="仿宋" w:cs="仿宋_GB2312"/>
          <w:color w:val="000000" w:themeColor="text1"/>
          <w:sz w:val="32"/>
          <w:szCs w:val="32"/>
          <w:shd w:val="clear" w:color="auto" w:fill="FFFFFF"/>
          <w14:textFill>
            <w14:solidFill>
              <w14:schemeClr w14:val="tx1"/>
            </w14:solidFill>
          </w14:textFill>
        </w:rPr>
        <w:t>抽逃或变相抽逃注册资本</w:t>
      </w:r>
      <w:r>
        <w:rPr>
          <w:rFonts w:ascii="仿宋" w:hAnsi="仿宋" w:eastAsia="仿宋" w:cs="仿宋_GB2312"/>
          <w:color w:val="000000" w:themeColor="text1"/>
          <w:sz w:val="32"/>
          <w:szCs w:val="32"/>
          <w:shd w:val="clear" w:color="auto" w:fill="FFFFFF"/>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（四）</w:t>
      </w:r>
      <w:r>
        <w:rPr>
          <w:rFonts w:hint="eastAsia" w:ascii="仿宋" w:hAnsi="仿宋" w:eastAsia="仿宋" w:cs="仿宋_GB2312"/>
          <w:color w:val="000000" w:themeColor="text1"/>
          <w:sz w:val="32"/>
          <w:szCs w:val="32"/>
          <w:shd w:val="clear" w:color="auto" w:fill="FFFFFF"/>
          <w14:textFill>
            <w14:solidFill>
              <w14:schemeClr w14:val="tx1"/>
            </w14:solidFill>
          </w14:textFill>
        </w:rPr>
        <w:t>从商业银行以外单位或个人融资以及</w:t>
      </w:r>
      <w:r>
        <w:rPr>
          <w:rFonts w:ascii="仿宋" w:hAnsi="仿宋" w:eastAsia="仿宋" w:cs="仿宋_GB2312"/>
          <w:color w:val="000000" w:themeColor="text1"/>
          <w:sz w:val="32"/>
          <w:szCs w:val="32"/>
          <w:shd w:val="clear" w:color="auto" w:fill="FFFFFF"/>
          <w14:textFill>
            <w14:solidFill>
              <w14:schemeClr w14:val="tx1"/>
            </w14:solidFill>
          </w14:textFill>
        </w:rPr>
        <w:t>超过规定限额从商业银行</w:t>
      </w:r>
      <w:r>
        <w:rPr>
          <w:rFonts w:hint="eastAsia" w:ascii="仿宋" w:hAnsi="仿宋" w:eastAsia="仿宋" w:cs="仿宋_GB2312"/>
          <w:color w:val="000000" w:themeColor="text1"/>
          <w:sz w:val="32"/>
          <w:szCs w:val="32"/>
          <w:shd w:val="clear" w:color="auto" w:fill="FFFFFF"/>
          <w14:textFill>
            <w14:solidFill>
              <w14:schemeClr w14:val="tx1"/>
            </w14:solidFill>
          </w14:textFill>
        </w:rPr>
        <w:t>贷款</w:t>
      </w:r>
      <w:r>
        <w:rPr>
          <w:rFonts w:ascii="仿宋" w:hAnsi="仿宋" w:eastAsia="仿宋" w:cs="仿宋_GB2312"/>
          <w:color w:val="000000" w:themeColor="text1"/>
          <w:sz w:val="32"/>
          <w:szCs w:val="32"/>
          <w:shd w:val="clear" w:color="auto" w:fill="FFFFFF"/>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（五）发放</w:t>
      </w:r>
      <w:r>
        <w:rPr>
          <w:rFonts w:hint="eastAsia" w:ascii="仿宋" w:hAnsi="仿宋" w:eastAsia="仿宋" w:cs="仿宋_GB2312"/>
          <w:color w:val="000000" w:themeColor="text1"/>
          <w:sz w:val="32"/>
          <w:szCs w:val="32"/>
          <w:shd w:val="clear" w:color="auto" w:fill="FFFFFF"/>
          <w14:textFill>
            <w14:solidFill>
              <w14:schemeClr w14:val="tx1"/>
            </w14:solidFill>
          </w14:textFill>
        </w:rPr>
        <w:t>或变相发放</w:t>
      </w:r>
      <w:r>
        <w:rPr>
          <w:rFonts w:ascii="仿宋" w:hAnsi="仿宋" w:eastAsia="仿宋" w:cs="仿宋_GB2312"/>
          <w:color w:val="000000" w:themeColor="text1"/>
          <w:sz w:val="32"/>
          <w:szCs w:val="32"/>
          <w:shd w:val="clear" w:color="auto" w:fill="FFFFFF"/>
          <w14:textFill>
            <w14:solidFill>
              <w14:schemeClr w14:val="tx1"/>
            </w14:solidFill>
          </w14:textFill>
        </w:rPr>
        <w:t>信用贷款；</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（六）对外投资；</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（七）非绝当物品销售以及旧物收购、寄售；</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（八）动产抵押业务；</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w:t>
      </w:r>
      <w:r>
        <w:rPr>
          <w:rFonts w:hint="eastAsia" w:ascii="仿宋" w:hAnsi="仿宋" w:eastAsia="仿宋" w:cs="仿宋_GB2312"/>
          <w:color w:val="000000" w:themeColor="text1"/>
          <w:sz w:val="32"/>
          <w:szCs w:val="32"/>
          <w:shd w:val="clear" w:color="auto" w:fill="FFFFFF"/>
          <w14:textFill>
            <w14:solidFill>
              <w14:schemeClr w14:val="tx1"/>
            </w14:solidFill>
          </w14:textFill>
        </w:rPr>
        <w:t>九</w:t>
      </w:r>
      <w:r>
        <w:rPr>
          <w:rFonts w:ascii="仿宋" w:hAnsi="仿宋" w:eastAsia="仿宋" w:cs="仿宋_GB2312"/>
          <w:color w:val="000000" w:themeColor="text1"/>
          <w:sz w:val="32"/>
          <w:szCs w:val="32"/>
          <w:shd w:val="clear" w:color="auto" w:fill="FFFFFF"/>
          <w14:textFill>
            <w14:solidFill>
              <w14:schemeClr w14:val="tx1"/>
            </w14:solidFill>
          </w14:textFill>
        </w:rPr>
        <w:t>）在当期内出租、质押、抵押和使用当物；</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w:t>
      </w:r>
      <w:r>
        <w:rPr>
          <w:rFonts w:hint="eastAsia" w:ascii="仿宋" w:hAnsi="仿宋" w:eastAsia="仿宋" w:cs="仿宋_GB2312"/>
          <w:color w:val="000000" w:themeColor="text1"/>
          <w:sz w:val="32"/>
          <w:szCs w:val="32"/>
          <w:shd w:val="clear" w:color="auto" w:fill="FFFFFF"/>
          <w14:textFill>
            <w14:solidFill>
              <w14:schemeClr w14:val="tx1"/>
            </w14:solidFill>
          </w14:textFill>
        </w:rPr>
        <w:t>十</w:t>
      </w:r>
      <w:r>
        <w:rPr>
          <w:rFonts w:ascii="仿宋" w:hAnsi="仿宋" w:eastAsia="仿宋" w:cs="仿宋_GB2312"/>
          <w:color w:val="000000" w:themeColor="text1"/>
          <w:sz w:val="32"/>
          <w:szCs w:val="32"/>
          <w:shd w:val="clear" w:color="auto" w:fill="FFFFFF"/>
          <w14:textFill>
            <w14:solidFill>
              <w14:schemeClr w14:val="tx1"/>
            </w14:solidFill>
          </w14:textFill>
        </w:rPr>
        <w:t>）国家</w:t>
      </w:r>
      <w:r>
        <w:rPr>
          <w:rFonts w:hint="eastAsia" w:ascii="仿宋" w:hAnsi="仿宋" w:eastAsia="仿宋" w:cs="仿宋_GB2312"/>
          <w:color w:val="000000" w:themeColor="text1"/>
          <w:sz w:val="32"/>
          <w:szCs w:val="32"/>
          <w:shd w:val="clear" w:color="auto" w:fill="FFFFFF"/>
          <w14:textFill>
            <w14:solidFill>
              <w14:schemeClr w14:val="tx1"/>
            </w14:solidFill>
          </w14:textFill>
        </w:rPr>
        <w:t>相关规定</w:t>
      </w:r>
      <w:r>
        <w:rPr>
          <w:rFonts w:ascii="仿宋" w:hAnsi="仿宋" w:eastAsia="仿宋" w:cs="仿宋_GB2312"/>
          <w:color w:val="000000" w:themeColor="text1"/>
          <w:sz w:val="32"/>
          <w:szCs w:val="32"/>
          <w:shd w:val="clear" w:color="auto" w:fill="FFFFFF"/>
          <w14:textFill>
            <w14:solidFill>
              <w14:schemeClr w14:val="tx1"/>
            </w14:solidFill>
          </w14:textFill>
        </w:rPr>
        <w:t>和</w:t>
      </w:r>
      <w:r>
        <w:rPr>
          <w:rFonts w:hint="eastAsia" w:ascii="仿宋" w:hAnsi="仿宋" w:eastAsia="仿宋" w:cs="仿宋_GB2312"/>
          <w:color w:val="000000" w:themeColor="text1"/>
          <w:sz w:val="32"/>
          <w:szCs w:val="32"/>
          <w:shd w:val="clear" w:color="auto" w:fill="FFFFFF"/>
          <w14:textFill>
            <w14:solidFill>
              <w14:schemeClr w14:val="tx1"/>
            </w14:solidFill>
          </w14:textFill>
        </w:rPr>
        <w:t>省地方金融监督管理局</w:t>
      </w:r>
      <w:r>
        <w:rPr>
          <w:rFonts w:ascii="仿宋" w:hAnsi="仿宋" w:eastAsia="仿宋" w:cs="仿宋_GB2312"/>
          <w:color w:val="000000" w:themeColor="text1"/>
          <w:sz w:val="32"/>
          <w:szCs w:val="32"/>
          <w:shd w:val="clear" w:color="auto" w:fill="FFFFFF"/>
          <w14:textFill>
            <w14:solidFill>
              <w14:schemeClr w14:val="tx1"/>
            </w14:solidFill>
          </w14:textFill>
        </w:rPr>
        <w:t>禁止的其他</w:t>
      </w:r>
      <w:r>
        <w:rPr>
          <w:rFonts w:hint="eastAsia" w:ascii="仿宋" w:hAnsi="仿宋" w:eastAsia="仿宋" w:cs="仿宋_GB2312"/>
          <w:color w:val="000000" w:themeColor="text1"/>
          <w:sz w:val="32"/>
          <w:szCs w:val="32"/>
          <w:shd w:val="clear" w:color="auto" w:fill="FFFFFF"/>
          <w14:textFill>
            <w14:solidFill>
              <w14:schemeClr w14:val="tx1"/>
            </w14:solidFill>
          </w14:textFill>
        </w:rPr>
        <w:t>业务或</w:t>
      </w:r>
      <w:r>
        <w:rPr>
          <w:rFonts w:ascii="仿宋" w:hAnsi="仿宋" w:eastAsia="仿宋" w:cs="仿宋_GB2312"/>
          <w:color w:val="000000" w:themeColor="text1"/>
          <w:sz w:val="32"/>
          <w:szCs w:val="32"/>
          <w:shd w:val="clear" w:color="auto" w:fill="FFFFFF"/>
          <w14:textFill>
            <w14:solidFill>
              <w14:schemeClr w14:val="tx1"/>
            </w14:solidFill>
          </w14:textFill>
        </w:rPr>
        <w:t>行为。</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第十九条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典当行的合法资金来源包括：</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（一）经地方金融监督管理部门批准的注册资金；</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（二）典当行经营盈余；</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（三）从商业银行获得的贷款。</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color w:val="000000" w:themeColor="text1"/>
          <w:sz w:val="32"/>
          <w:szCs w:val="32"/>
          <w:shd w:val="clear" w:color="auto" w:fill="FFFFFF"/>
          <w14:textFill>
            <w14:solidFill>
              <w14:schemeClr w14:val="tx1"/>
            </w14:solidFill>
          </w14:textFill>
        </w:rPr>
        <w:t>典当行只能用上述资金开展典当业务及鉴定评估、咨询服务业务。</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二十</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eastAsia="仿宋" w:cs="Calibri"/>
          <w:color w:val="000000" w:themeColor="text1"/>
          <w:sz w:val="32"/>
          <w:szCs w:val="32"/>
          <w:shd w:val="clear" w:color="auto" w:fill="FFFFFF"/>
          <w14:textFill>
            <w14:solidFill>
              <w14:schemeClr w14:val="tx1"/>
            </w14:solidFill>
          </w14:textFill>
        </w:rPr>
        <w:t> </w:t>
      </w:r>
      <w:r>
        <w:rPr>
          <w:rStyle w:val="7"/>
          <w:rFonts w:hint="eastAsia" w:ascii="仿宋" w:hAnsi="仿宋" w:eastAsia="仿宋" w:cs="sans-serif"/>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典当行收当法律、行政法规规定的专营、专卖物品或者其他限制买卖的物品，应当经有关部门批准。</w:t>
      </w:r>
    </w:p>
    <w:p>
      <w:pPr>
        <w:pStyle w:val="5"/>
        <w:widowControl/>
        <w:shd w:val="clear" w:color="auto" w:fill="FFFFFF"/>
        <w:adjustRightInd w:val="0"/>
        <w:snapToGrid w:val="0"/>
        <w:spacing w:before="0" w:beforeAutospacing="0" w:after="0" w:afterAutospacing="0" w:line="580" w:lineRule="exact"/>
        <w:ind w:firstLine="601"/>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典当行不得收当下列财物：</w:t>
      </w:r>
    </w:p>
    <w:p>
      <w:pPr>
        <w:pStyle w:val="5"/>
        <w:widowControl/>
        <w:shd w:val="clear" w:color="auto" w:fill="FFFFFF"/>
        <w:adjustRightInd w:val="0"/>
        <w:snapToGrid w:val="0"/>
        <w:spacing w:before="0" w:beforeAutospacing="0" w:after="0" w:afterAutospacing="0" w:line="580" w:lineRule="exact"/>
        <w:ind w:firstLine="601"/>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（一）依法被查封、扣押或者已经被采取其他保全措施的财产；</w:t>
      </w:r>
    </w:p>
    <w:p>
      <w:pPr>
        <w:pStyle w:val="5"/>
        <w:widowControl/>
        <w:shd w:val="clear" w:color="auto" w:fill="FFFFFF"/>
        <w:adjustRightInd w:val="0"/>
        <w:snapToGrid w:val="0"/>
        <w:spacing w:before="0" w:beforeAutospacing="0" w:after="0" w:afterAutospacing="0" w:line="580" w:lineRule="exact"/>
        <w:ind w:firstLine="601"/>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（二）赃物和来源不明的物品；</w:t>
      </w:r>
    </w:p>
    <w:p>
      <w:pPr>
        <w:pStyle w:val="5"/>
        <w:widowControl/>
        <w:shd w:val="clear" w:color="auto" w:fill="FFFFFF"/>
        <w:adjustRightInd w:val="0"/>
        <w:snapToGrid w:val="0"/>
        <w:spacing w:before="0" w:beforeAutospacing="0" w:after="0" w:afterAutospacing="0" w:line="580" w:lineRule="exact"/>
        <w:ind w:firstLine="601"/>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（三）易燃、易爆、剧毒、放射性物品及其容器；</w:t>
      </w:r>
    </w:p>
    <w:p>
      <w:pPr>
        <w:pStyle w:val="5"/>
        <w:widowControl/>
        <w:shd w:val="clear" w:color="auto" w:fill="FFFFFF"/>
        <w:adjustRightInd w:val="0"/>
        <w:snapToGrid w:val="0"/>
        <w:spacing w:before="0" w:beforeAutospacing="0" w:after="0" w:afterAutospacing="0" w:line="580" w:lineRule="exact"/>
        <w:ind w:firstLine="601"/>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（四）管制刀具、枪支、弹药，军、警用标志、制式服装和器械；</w:t>
      </w:r>
    </w:p>
    <w:p>
      <w:pPr>
        <w:pStyle w:val="5"/>
        <w:widowControl/>
        <w:shd w:val="clear" w:color="auto" w:fill="FFFFFF"/>
        <w:adjustRightInd w:val="0"/>
        <w:snapToGrid w:val="0"/>
        <w:spacing w:before="0" w:beforeAutospacing="0" w:after="0" w:afterAutospacing="0" w:line="580" w:lineRule="exact"/>
        <w:ind w:firstLine="601"/>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（五）国家机关公文、印章及其管理的财物；</w:t>
      </w:r>
    </w:p>
    <w:p>
      <w:pPr>
        <w:pStyle w:val="5"/>
        <w:widowControl/>
        <w:shd w:val="clear" w:color="auto" w:fill="FFFFFF"/>
        <w:adjustRightInd w:val="0"/>
        <w:snapToGrid w:val="0"/>
        <w:spacing w:before="0" w:beforeAutospacing="0" w:after="0" w:afterAutospacing="0" w:line="580" w:lineRule="exact"/>
        <w:ind w:firstLine="601"/>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（六）国家机关核发的除权利凭证以外证照及有效身份证件；</w:t>
      </w:r>
    </w:p>
    <w:p>
      <w:pPr>
        <w:pStyle w:val="5"/>
        <w:widowControl/>
        <w:shd w:val="clear" w:color="auto" w:fill="FFFFFF"/>
        <w:adjustRightInd w:val="0"/>
        <w:snapToGrid w:val="0"/>
        <w:spacing w:before="0" w:beforeAutospacing="0" w:after="0" w:afterAutospacing="0" w:line="580" w:lineRule="exact"/>
        <w:ind w:firstLine="601"/>
        <w:jc w:val="both"/>
        <w:rPr>
          <w:rFonts w:ascii="仿宋" w:hAnsi="仿宋" w:eastAsia="仿宋" w:cs="sans-serif"/>
          <w:color w:val="000000" w:themeColor="text1"/>
          <w:sz w:val="32"/>
          <w:szCs w:val="32"/>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（七）当户没有所有权或者未能依法取得处分权的财产；</w:t>
      </w:r>
    </w:p>
    <w:p>
      <w:pPr>
        <w:pStyle w:val="5"/>
        <w:widowControl/>
        <w:shd w:val="clear" w:color="auto" w:fill="FFFFFF"/>
        <w:adjustRightInd w:val="0"/>
        <w:snapToGrid w:val="0"/>
        <w:spacing w:before="0" w:beforeAutospacing="0" w:after="0" w:afterAutospacing="0" w:line="580" w:lineRule="exact"/>
        <w:ind w:firstLine="601"/>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（八）法律、法规及国家有关规定禁止流通的自然资源或者禁止转让、质押、抵押的其他财产。</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第二十一条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典当行在收当时应当核对当户的有效身份证件</w:t>
      </w:r>
      <w:r>
        <w:rPr>
          <w:rFonts w:hint="eastAsia" w:ascii="仿宋" w:hAnsi="仿宋" w:eastAsia="仿宋" w:cs="仿宋_GB2312"/>
          <w:color w:val="000000" w:themeColor="text1"/>
          <w:sz w:val="32"/>
          <w:szCs w:val="32"/>
          <w:shd w:val="clear" w:color="auto" w:fill="FFFFFF"/>
          <w14:textFill>
            <w14:solidFill>
              <w14:schemeClr w14:val="tx1"/>
            </w14:solidFill>
          </w14:textFill>
        </w:rPr>
        <w:t>。当户为单位的，应当核对单位证明和经办人的有效身份证件；委托典当的，应当核对委托书、被委托人和委托人的有效身份证件。</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典当行应当查验当物并予以登记，要求当户提供当物来源的相关证明材料；有正当理由不能提供相关证明材料的，应当作出书面说明，对当物的合法性作出书面承诺。</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b/>
          <w:bCs/>
          <w:color w:val="000000" w:themeColor="text1"/>
          <w:sz w:val="32"/>
          <w:szCs w:val="32"/>
          <w:shd w:val="clear" w:color="auto" w:fill="FFFFFF"/>
          <w14:textFill>
            <w14:solidFill>
              <w14:schemeClr w14:val="tx1"/>
            </w14:solidFill>
          </w14:textFill>
        </w:rPr>
        <w:t>第</w:t>
      </w:r>
      <w:r>
        <w:rPr>
          <w:rFonts w:hint="eastAsia" w:ascii="仿宋" w:hAnsi="仿宋" w:eastAsia="仿宋" w:cs="仿宋_GB2312"/>
          <w:b/>
          <w:bCs/>
          <w:color w:val="000000" w:themeColor="text1"/>
          <w:sz w:val="32"/>
          <w:szCs w:val="32"/>
          <w:shd w:val="clear" w:color="auto" w:fill="FFFFFF"/>
          <w14:textFill>
            <w14:solidFill>
              <w14:schemeClr w14:val="tx1"/>
            </w14:solidFill>
          </w14:textFill>
        </w:rPr>
        <w:t>二十二</w:t>
      </w:r>
      <w:r>
        <w:rPr>
          <w:rFonts w:ascii="仿宋" w:hAnsi="仿宋" w:eastAsia="仿宋" w:cs="仿宋_GB2312"/>
          <w:b/>
          <w:bCs/>
          <w:color w:val="000000" w:themeColor="text1"/>
          <w:sz w:val="32"/>
          <w:szCs w:val="32"/>
          <w:shd w:val="clear" w:color="auto" w:fill="FFFFFF"/>
          <w14:textFill>
            <w14:solidFill>
              <w14:schemeClr w14:val="tx1"/>
            </w14:solidFill>
          </w14:textFill>
        </w:rPr>
        <w:t>条</w:t>
      </w:r>
      <w:r>
        <w:rPr>
          <w:rFonts w:ascii="仿宋" w:hAnsi="仿宋" w:eastAsia="仿宋" w:cs="仿宋_GB2312"/>
          <w:color w:val="000000" w:themeColor="text1"/>
          <w:sz w:val="32"/>
          <w:szCs w:val="32"/>
          <w:shd w:val="clear" w:color="auto" w:fill="FFFFFF"/>
          <w14:textFill>
            <w14:solidFill>
              <w14:schemeClr w14:val="tx1"/>
            </w14:solidFill>
          </w14:textFill>
        </w:rPr>
        <w:t>  典当行开展业务应当使用全省统一印制的当票、续当凭证。当票、续当凭证由省地方金融监督管理局统一印制</w:t>
      </w:r>
      <w:r>
        <w:rPr>
          <w:rFonts w:hint="eastAsia" w:ascii="仿宋" w:hAnsi="仿宋" w:eastAsia="仿宋" w:cs="仿宋_GB2312"/>
          <w:color w:val="000000" w:themeColor="text1"/>
          <w:sz w:val="32"/>
          <w:szCs w:val="32"/>
          <w:shd w:val="clear" w:color="auto" w:fill="FFFFFF"/>
          <w14:textFill>
            <w14:solidFill>
              <w14:schemeClr w14:val="tx1"/>
            </w14:solidFill>
          </w14:textFill>
        </w:rPr>
        <w:t>，并</w:t>
      </w:r>
      <w:r>
        <w:rPr>
          <w:rFonts w:ascii="仿宋" w:hAnsi="仿宋" w:eastAsia="仿宋" w:cs="仿宋_GB2312"/>
          <w:color w:val="000000" w:themeColor="text1"/>
          <w:sz w:val="32"/>
          <w:szCs w:val="32"/>
          <w:shd w:val="clear" w:color="auto" w:fill="FFFFFF"/>
          <w14:textFill>
            <w14:solidFill>
              <w14:schemeClr w14:val="tx1"/>
            </w14:solidFill>
          </w14:textFill>
        </w:rPr>
        <w:t>委托省典当行业协会实施发放管理工作。省典当行业协会应对典当行的当票</w:t>
      </w:r>
      <w:r>
        <w:rPr>
          <w:rFonts w:hint="eastAsia" w:ascii="仿宋" w:hAnsi="仿宋" w:eastAsia="仿宋" w:cs="仿宋_GB2312"/>
          <w:color w:val="000000" w:themeColor="text1"/>
          <w:sz w:val="32"/>
          <w:szCs w:val="32"/>
          <w:shd w:val="clear" w:color="auto" w:fill="FFFFFF"/>
          <w14:textFill>
            <w14:solidFill>
              <w14:schemeClr w14:val="tx1"/>
            </w14:solidFill>
          </w14:textFill>
        </w:rPr>
        <w:t>及续当凭证的</w:t>
      </w:r>
      <w:r>
        <w:rPr>
          <w:rFonts w:ascii="仿宋" w:hAnsi="仿宋" w:eastAsia="仿宋" w:cs="仿宋_GB2312"/>
          <w:color w:val="000000" w:themeColor="text1"/>
          <w:sz w:val="32"/>
          <w:szCs w:val="32"/>
          <w:shd w:val="clear" w:color="auto" w:fill="FFFFFF"/>
          <w14:textFill>
            <w14:solidFill>
              <w14:schemeClr w14:val="tx1"/>
            </w14:solidFill>
          </w14:textFill>
        </w:rPr>
        <w:t>领购、使用、核销情况建立台账，实施编号管理。</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市县地方金融监督管理部门须将当票和续当凭证的使用管理作为现场检查和年审的重点内容。典当行当票与续当凭证使用</w:t>
      </w:r>
      <w:r>
        <w:rPr>
          <w:rFonts w:hint="eastAsia" w:ascii="仿宋" w:hAnsi="仿宋" w:eastAsia="仿宋" w:cs="仿宋_GB2312"/>
          <w:color w:val="000000" w:themeColor="text1"/>
          <w:sz w:val="32"/>
          <w:szCs w:val="32"/>
          <w:shd w:val="clear" w:color="auto" w:fill="FFFFFF"/>
          <w14:textFill>
            <w14:solidFill>
              <w14:schemeClr w14:val="tx1"/>
            </w14:solidFill>
          </w14:textFill>
        </w:rPr>
        <w:t>数量</w:t>
      </w:r>
      <w:r>
        <w:rPr>
          <w:rFonts w:ascii="仿宋" w:hAnsi="仿宋" w:eastAsia="仿宋" w:cs="仿宋_GB2312"/>
          <w:color w:val="000000" w:themeColor="text1"/>
          <w:sz w:val="32"/>
          <w:szCs w:val="32"/>
          <w:shd w:val="clear" w:color="auto" w:fill="FFFFFF"/>
          <w14:textFill>
            <w14:solidFill>
              <w14:schemeClr w14:val="tx1"/>
            </w14:solidFill>
          </w14:textFill>
        </w:rPr>
        <w:t>应与典当业务笔数相符，当票与续当凭证开具的累计金额应与典当总额相符，尚未赎回的当票与续当凭证的金额应与典当余额相符。</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典当行应明确专人负责保管和开具当票和续当凭证，加强当票和当物对照检查，做到账</w:t>
      </w:r>
      <w:r>
        <w:rPr>
          <w:rFonts w:hint="eastAsia" w:ascii="仿宋" w:hAnsi="仿宋" w:eastAsia="仿宋" w:cs="仿宋_GB2312"/>
          <w:color w:val="000000" w:themeColor="text1"/>
          <w:sz w:val="32"/>
          <w:szCs w:val="32"/>
          <w:shd w:val="clear" w:color="auto" w:fill="FFFFFF"/>
          <w14:textFill>
            <w14:solidFill>
              <w14:schemeClr w14:val="tx1"/>
            </w14:solidFill>
          </w14:textFill>
        </w:rPr>
        <w:t>物</w:t>
      </w:r>
      <w:r>
        <w:rPr>
          <w:rFonts w:ascii="仿宋" w:hAnsi="仿宋" w:eastAsia="仿宋" w:cs="仿宋_GB2312"/>
          <w:color w:val="000000" w:themeColor="text1"/>
          <w:sz w:val="32"/>
          <w:szCs w:val="32"/>
          <w:shd w:val="clear" w:color="auto" w:fill="FFFFFF"/>
          <w14:textFill>
            <w14:solidFill>
              <w14:schemeClr w14:val="tx1"/>
            </w14:solidFill>
          </w14:textFill>
        </w:rPr>
        <w:t>相符，防止有当票无质（抵）押物。当票和续当凭证发生遗失的，典当行应及时在官方纸媒上刊登作废声明，并以书面形式报告属地地方金融监督管理部门。</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第二十</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三</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典当行和当户就当票以外事项进行约定的，应当补充订立书面合同，约定的内容不得违反国家和</w:t>
      </w:r>
      <w:r>
        <w:rPr>
          <w:rFonts w:hint="eastAsia" w:ascii="仿宋" w:hAnsi="仿宋" w:eastAsia="仿宋" w:cs="仿宋_GB2312"/>
          <w:color w:val="000000" w:themeColor="text1"/>
          <w:sz w:val="32"/>
          <w:szCs w:val="32"/>
          <w:shd w:val="clear" w:color="auto" w:fill="FFFFFF"/>
          <w14:textFill>
            <w14:solidFill>
              <w14:schemeClr w14:val="tx1"/>
            </w14:solidFill>
          </w14:textFill>
        </w:rPr>
        <w:t>本省有关</w:t>
      </w:r>
      <w:r>
        <w:rPr>
          <w:rFonts w:ascii="仿宋" w:hAnsi="仿宋" w:eastAsia="仿宋" w:cs="仿宋_GB2312"/>
          <w:color w:val="000000" w:themeColor="text1"/>
          <w:sz w:val="32"/>
          <w:szCs w:val="32"/>
          <w:shd w:val="clear" w:color="auto" w:fill="FFFFFF"/>
          <w14:textFill>
            <w14:solidFill>
              <w14:schemeClr w14:val="tx1"/>
            </w14:solidFill>
          </w14:textFill>
        </w:rPr>
        <w:t>规定。</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典当行不得以合同代替当票</w:t>
      </w:r>
      <w:r>
        <w:rPr>
          <w:rFonts w:hint="eastAsia" w:ascii="仿宋" w:hAnsi="仿宋" w:eastAsia="仿宋" w:cs="仿宋_GB2312"/>
          <w:color w:val="000000" w:themeColor="text1"/>
          <w:sz w:val="32"/>
          <w:szCs w:val="32"/>
          <w:shd w:val="clear" w:color="auto" w:fill="FFFFFF"/>
          <w14:textFill>
            <w14:solidFill>
              <w14:schemeClr w14:val="tx1"/>
            </w14:solidFill>
          </w14:textFill>
        </w:rPr>
        <w:t>，</w:t>
      </w:r>
      <w:r>
        <w:rPr>
          <w:rFonts w:ascii="仿宋" w:hAnsi="仿宋" w:eastAsia="仿宋" w:cs="仿宋_GB2312"/>
          <w:color w:val="000000" w:themeColor="text1"/>
          <w:sz w:val="32"/>
          <w:szCs w:val="32"/>
          <w:shd w:val="clear" w:color="auto" w:fill="FFFFFF"/>
          <w14:textFill>
            <w14:solidFill>
              <w14:schemeClr w14:val="tx1"/>
            </w14:solidFill>
          </w14:textFill>
        </w:rPr>
        <w:t>不得将当票转让、出借或者质押给第三人。</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第二十四条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当物估价金额与当金数额由典当行和当户协商确定。典当期限由双方约定，最长不得超过6个月。典当当金利率按贷款市场报价利率（</w:t>
      </w:r>
      <w:r>
        <w:rPr>
          <w:rFonts w:ascii="仿宋" w:hAnsi="仿宋" w:eastAsia="仿宋"/>
          <w:color w:val="000000" w:themeColor="text1"/>
          <w:sz w:val="32"/>
          <w:szCs w:val="32"/>
          <w:shd w:val="clear" w:color="auto" w:fill="FFFFFF"/>
          <w14:textFill>
            <w14:solidFill>
              <w14:schemeClr w14:val="tx1"/>
            </w14:solidFill>
          </w14:textFill>
        </w:rPr>
        <w:t>LPR</w:t>
      </w:r>
      <w:r>
        <w:rPr>
          <w:rFonts w:ascii="仿宋" w:hAnsi="仿宋" w:eastAsia="仿宋" w:cs="仿宋_GB2312"/>
          <w:color w:val="000000" w:themeColor="text1"/>
          <w:sz w:val="32"/>
          <w:szCs w:val="32"/>
          <w:shd w:val="clear" w:color="auto" w:fill="FFFFFF"/>
          <w14:textFill>
            <w14:solidFill>
              <w14:schemeClr w14:val="tx1"/>
            </w14:solidFill>
          </w14:textFill>
        </w:rPr>
        <w:t>）及浮动范围执行，当金利息不得预扣。</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典当综合费用包括各种服务及管理费用，典当行向当户收取的综合费用不</w:t>
      </w:r>
      <w:r>
        <w:rPr>
          <w:rFonts w:hint="eastAsia" w:ascii="仿宋" w:hAnsi="仿宋" w:eastAsia="仿宋" w:cs="仿宋_GB2312"/>
          <w:color w:val="000000" w:themeColor="text1"/>
          <w:sz w:val="32"/>
          <w:szCs w:val="32"/>
          <w:shd w:val="clear" w:color="auto" w:fill="FFFFFF"/>
          <w14:textFill>
            <w14:solidFill>
              <w14:schemeClr w14:val="tx1"/>
            </w14:solidFill>
          </w14:textFill>
        </w:rPr>
        <w:t>得</w:t>
      </w:r>
      <w:r>
        <w:rPr>
          <w:rFonts w:ascii="仿宋" w:hAnsi="仿宋" w:eastAsia="仿宋" w:cs="仿宋_GB2312"/>
          <w:color w:val="000000" w:themeColor="text1"/>
          <w:sz w:val="32"/>
          <w:szCs w:val="32"/>
          <w:shd w:val="clear" w:color="auto" w:fill="FFFFFF"/>
          <w14:textFill>
            <w14:solidFill>
              <w14:schemeClr w14:val="tx1"/>
            </w14:solidFill>
          </w14:textFill>
        </w:rPr>
        <w:t>超过《典当管理办法》规定的费率上限。</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第二十五条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典当期内或典当期限届满后5日内，经双方同意可以续当，续当一次的期限最长为</w:t>
      </w:r>
      <w:r>
        <w:rPr>
          <w:rFonts w:ascii="仿宋" w:hAnsi="仿宋" w:eastAsia="仿宋"/>
          <w:color w:val="000000" w:themeColor="text1"/>
          <w:sz w:val="32"/>
          <w:szCs w:val="32"/>
          <w:shd w:val="clear" w:color="auto" w:fill="FFFFFF"/>
          <w14:textFill>
            <w14:solidFill>
              <w14:schemeClr w14:val="tx1"/>
            </w14:solidFill>
          </w14:textFill>
        </w:rPr>
        <w:t>6</w:t>
      </w:r>
      <w:r>
        <w:rPr>
          <w:rFonts w:ascii="仿宋" w:hAnsi="仿宋" w:eastAsia="仿宋" w:cs="仿宋_GB2312"/>
          <w:color w:val="000000" w:themeColor="text1"/>
          <w:sz w:val="32"/>
          <w:szCs w:val="32"/>
          <w:shd w:val="clear" w:color="auto" w:fill="FFFFFF"/>
          <w14:textFill>
            <w14:solidFill>
              <w14:schemeClr w14:val="tx1"/>
            </w14:solidFill>
          </w14:textFill>
        </w:rPr>
        <w:t>个月。续当期自典当期限或者前一次续当期限届满日起算。续当时，当户应当结清前期利息和当期费用。</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典当期限或者续当期限届满后，当户应当在5日内赎当或者续当。逾期不赎当也不续当的，为绝当</w:t>
      </w:r>
      <w:r>
        <w:rPr>
          <w:rFonts w:hint="eastAsia" w:ascii="仿宋" w:hAnsi="仿宋" w:eastAsia="仿宋" w:cs="仿宋_GB2312"/>
          <w:color w:val="000000" w:themeColor="text1"/>
          <w:sz w:val="32"/>
          <w:szCs w:val="32"/>
          <w:shd w:val="clear" w:color="auto" w:fill="FFFFFF"/>
          <w14:textFill>
            <w14:solidFill>
              <w14:schemeClr w14:val="tx1"/>
            </w14:solidFill>
          </w14:textFill>
        </w:rPr>
        <w:t>。对绝当物，典当行应</w:t>
      </w:r>
      <w:r>
        <w:rPr>
          <w:rFonts w:ascii="仿宋" w:hAnsi="仿宋" w:eastAsia="仿宋" w:cs="仿宋_GB2312"/>
          <w:color w:val="000000" w:themeColor="text1"/>
          <w:sz w:val="32"/>
          <w:szCs w:val="32"/>
          <w:shd w:val="clear" w:color="auto" w:fill="FFFFFF"/>
          <w14:textFill>
            <w14:solidFill>
              <w14:schemeClr w14:val="tx1"/>
            </w14:solidFill>
          </w14:textFill>
        </w:rPr>
        <w:t>在典当通和财务报表中做出绝当处理，不得长期挂账应收账款</w:t>
      </w:r>
      <w:r>
        <w:rPr>
          <w:rFonts w:hint="eastAsia" w:ascii="仿宋" w:hAnsi="仿宋" w:eastAsia="仿宋" w:cs="仿宋_GB2312"/>
          <w:color w:val="000000" w:themeColor="text1"/>
          <w:sz w:val="32"/>
          <w:szCs w:val="32"/>
          <w:shd w:val="clear" w:color="auto" w:fill="FFFFFF"/>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第二十六条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典当行应当以符合法律规定的方式处分绝当物</w:t>
      </w:r>
      <w:r>
        <w:rPr>
          <w:rFonts w:hint="eastAsia" w:ascii="仿宋" w:hAnsi="仿宋" w:eastAsia="仿宋" w:cs="仿宋_GB2312"/>
          <w:color w:val="000000" w:themeColor="text1"/>
          <w:sz w:val="32"/>
          <w:szCs w:val="32"/>
          <w:shd w:val="clear" w:color="auto" w:fill="FFFFFF"/>
          <w14:textFill>
            <w14:solidFill>
              <w14:schemeClr w14:val="tx1"/>
            </w14:solidFill>
          </w14:textFill>
        </w:rPr>
        <w:t>，采用协议折价或者协议拍卖、变卖的方式及时处理绝当物，并就所得价款优先受偿。拍卖、变卖收入在扣除拍卖、变卖费用及当金本息后，剩余部分应当退还当户，不足部分向当户追偿。</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仿宋_GB2312"/>
          <w:b/>
          <w:bCs/>
          <w:color w:val="000000" w:themeColor="text1"/>
          <w:sz w:val="32"/>
          <w:szCs w:val="32"/>
          <w:shd w:val="clear" w:color="auto" w:fill="FFFFFF"/>
          <w14:textFill>
            <w14:solidFill>
              <w14:schemeClr w14:val="tx1"/>
            </w14:solidFill>
          </w14:textFill>
        </w:rPr>
        <w:t>第二十七条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典当行经营房地产抵押典当业务，应当和当户依法到有关部门先行办理抵押登记，再办理抵押典当手续。典当行经营机动车质押典当业务，应当到车辆管理部门办理质押登记手续。典当行经营其他典当业务，有关法律、法规要求登记的，应当依法办理登记手续。</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二</w:t>
      </w:r>
      <w:r>
        <w:rPr>
          <w:rStyle w:val="7"/>
          <w:rFonts w:ascii="仿宋" w:hAnsi="仿宋" w:eastAsia="仿宋" w:cs="仿宋_GB2312"/>
          <w:color w:val="000000" w:themeColor="text1"/>
          <w:sz w:val="32"/>
          <w:szCs w:val="32"/>
          <w:shd w:val="clear" w:color="auto" w:fill="FFFFFF"/>
          <w14:textFill>
            <w14:solidFill>
              <w14:schemeClr w14:val="tx1"/>
            </w14:solidFill>
          </w14:textFill>
        </w:rPr>
        <w:t>十</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八</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 xml:space="preserve"> 典当行对同一法人或者自然人的典当余额不得超过上一年度净资产的25%；财产权利质押典当余额不得超过上一年度净资产的50%；房地产抵押典当余额不得超过上一年度净资产，房地产抵押典当单笔当金数额不得超过上一年度净资产的10%。</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典当行对股东的典当余额不得超过该股东入股金额，且典当条件不得优于普通当户。</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二十九</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典当行应根据典当业务的性质和特点，制定财务管理、网络数据上报、</w:t>
      </w:r>
      <w:r>
        <w:rPr>
          <w:rFonts w:hint="eastAsia" w:ascii="仿宋" w:hAnsi="仿宋" w:eastAsia="仿宋" w:cs="仿宋_GB2312"/>
          <w:color w:val="000000" w:themeColor="text1"/>
          <w:sz w:val="32"/>
          <w:szCs w:val="32"/>
          <w:shd w:val="clear" w:color="auto" w:fill="FFFFFF"/>
          <w14:textFill>
            <w14:solidFill>
              <w14:schemeClr w14:val="tx1"/>
            </w14:solidFill>
          </w14:textFill>
        </w:rPr>
        <w:t>当物查验保管</w:t>
      </w:r>
      <w:r>
        <w:rPr>
          <w:rFonts w:ascii="仿宋" w:hAnsi="仿宋" w:eastAsia="仿宋" w:cs="仿宋_GB2312"/>
          <w:color w:val="000000" w:themeColor="text1"/>
          <w:sz w:val="32"/>
          <w:szCs w:val="32"/>
          <w:shd w:val="clear" w:color="auto" w:fill="FFFFFF"/>
          <w14:textFill>
            <w14:solidFill>
              <w14:schemeClr w14:val="tx1"/>
            </w14:solidFill>
          </w14:textFill>
        </w:rPr>
        <w:t>、网络维护等内部管理制度。</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典当行房屋建筑和经营设施应当符合国家有关安全标准和消防管理规定，具备与经营范围相匹配的安全防范设施。</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b/>
          <w:bCs/>
          <w:color w:val="000000" w:themeColor="text1"/>
          <w:sz w:val="32"/>
          <w:szCs w:val="32"/>
          <w:shd w:val="clear" w:color="auto" w:fill="FFFFFF"/>
          <w14:textFill>
            <w14:solidFill>
              <w14:schemeClr w14:val="tx1"/>
            </w14:solidFill>
          </w14:textFill>
        </w:rPr>
        <w:t>第</w:t>
      </w:r>
      <w:r>
        <w:rPr>
          <w:rFonts w:hint="eastAsia" w:ascii="仿宋" w:hAnsi="仿宋" w:eastAsia="仿宋" w:cs="仿宋_GB2312"/>
          <w:b/>
          <w:bCs/>
          <w:color w:val="000000" w:themeColor="text1"/>
          <w:sz w:val="32"/>
          <w:szCs w:val="32"/>
          <w:shd w:val="clear" w:color="auto" w:fill="FFFFFF"/>
          <w14:textFill>
            <w14:solidFill>
              <w14:schemeClr w14:val="tx1"/>
            </w14:solidFill>
          </w14:textFill>
        </w:rPr>
        <w:t>三十</w:t>
      </w:r>
      <w:r>
        <w:rPr>
          <w:rFonts w:ascii="仿宋" w:hAnsi="仿宋" w:eastAsia="仿宋" w:cs="仿宋_GB2312"/>
          <w:b/>
          <w:bCs/>
          <w:color w:val="000000" w:themeColor="text1"/>
          <w:sz w:val="32"/>
          <w:szCs w:val="32"/>
          <w:shd w:val="clear" w:color="auto" w:fill="FFFFFF"/>
          <w14:textFill>
            <w14:solidFill>
              <w14:schemeClr w14:val="tx1"/>
            </w14:solidFill>
          </w14:textFill>
        </w:rPr>
        <w:t>条</w:t>
      </w:r>
      <w:r>
        <w:rPr>
          <w:rFonts w:eastAsia="仿宋" w:cs="Calibri"/>
          <w:color w:val="000000" w:themeColor="text1"/>
          <w:sz w:val="32"/>
          <w:szCs w:val="32"/>
          <w:shd w:val="clear" w:color="auto" w:fill="FFFFFF"/>
          <w14:textFill>
            <w14:solidFill>
              <w14:schemeClr w14:val="tx1"/>
            </w14:solidFill>
          </w14:textFill>
        </w:rPr>
        <w:t> </w:t>
      </w:r>
      <w:r>
        <w:rPr>
          <w:rFonts w:ascii="仿宋" w:hAnsi="仿宋" w:eastAsia="仿宋" w:cs="仿宋_GB2312"/>
          <w:color w:val="000000" w:themeColor="text1"/>
          <w:sz w:val="32"/>
          <w:szCs w:val="32"/>
          <w:shd w:val="clear" w:color="auto" w:fill="FFFFFF"/>
          <w14:textFill>
            <w14:solidFill>
              <w14:schemeClr w14:val="tx1"/>
            </w14:solidFill>
          </w14:textFill>
        </w:rPr>
        <w:t xml:space="preserve"> 典当行应当建立信息披露制度，按要求向监管部门、公司股东、业务合作方披露年度业务经营情况、重大事项等信息，必要时向社会披露。</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典当行应当在经营场所显著位置悬挂《营业执照》、《许可证》、行业标识牌、监管评级和自律承诺内容等，并公布</w:t>
      </w:r>
      <w:r>
        <w:rPr>
          <w:rFonts w:hint="eastAsia" w:ascii="仿宋" w:hAnsi="仿宋" w:eastAsia="仿宋" w:cs="仿宋_GB2312"/>
          <w:color w:val="000000" w:themeColor="text1"/>
          <w:sz w:val="32"/>
          <w:szCs w:val="32"/>
          <w:shd w:val="clear" w:color="auto" w:fill="FFFFFF"/>
          <w14:textFill>
            <w14:solidFill>
              <w14:schemeClr w14:val="tx1"/>
            </w14:solidFill>
          </w14:textFill>
        </w:rPr>
        <w:t>属地县级</w:t>
      </w:r>
      <w:r>
        <w:rPr>
          <w:rFonts w:ascii="仿宋" w:hAnsi="仿宋" w:eastAsia="仿宋" w:cs="仿宋_GB2312"/>
          <w:color w:val="000000" w:themeColor="text1"/>
          <w:sz w:val="32"/>
          <w:szCs w:val="32"/>
          <w:shd w:val="clear" w:color="auto" w:fill="FFFFFF"/>
          <w14:textFill>
            <w14:solidFill>
              <w14:schemeClr w14:val="tx1"/>
            </w14:solidFill>
          </w14:textFill>
        </w:rPr>
        <w:t>地方金融</w:t>
      </w:r>
      <w:r>
        <w:rPr>
          <w:rFonts w:hint="eastAsia" w:ascii="仿宋" w:hAnsi="仿宋" w:eastAsia="仿宋" w:cs="仿宋_GB2312"/>
          <w:color w:val="000000" w:themeColor="text1"/>
          <w:sz w:val="32"/>
          <w:szCs w:val="32"/>
          <w:shd w:val="clear" w:color="auto" w:fill="FFFFFF"/>
          <w14:textFill>
            <w14:solidFill>
              <w14:schemeClr w14:val="tx1"/>
            </w14:solidFill>
          </w14:textFill>
        </w:rPr>
        <w:t>监督管理</w:t>
      </w:r>
      <w:r>
        <w:rPr>
          <w:rFonts w:ascii="仿宋" w:hAnsi="仿宋" w:eastAsia="仿宋" w:cs="仿宋_GB2312"/>
          <w:color w:val="000000" w:themeColor="text1"/>
          <w:sz w:val="32"/>
          <w:szCs w:val="32"/>
          <w:shd w:val="clear" w:color="auto" w:fill="FFFFFF"/>
          <w14:textFill>
            <w14:solidFill>
              <w14:schemeClr w14:val="tx1"/>
            </w14:solidFill>
          </w14:textFill>
        </w:rPr>
        <w:t>部门的监督举报电话。</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b/>
          <w:bCs/>
          <w:color w:val="000000" w:themeColor="text1"/>
          <w:sz w:val="32"/>
          <w:szCs w:val="32"/>
          <w:shd w:val="clear" w:color="auto" w:fill="FFFFFF"/>
          <w14:textFill>
            <w14:solidFill>
              <w14:schemeClr w14:val="tx1"/>
            </w14:solidFill>
          </w14:textFill>
        </w:rPr>
        <w:t>第</w:t>
      </w:r>
      <w:r>
        <w:rPr>
          <w:rFonts w:hint="eastAsia" w:ascii="仿宋" w:hAnsi="仿宋" w:eastAsia="仿宋" w:cs="仿宋_GB2312"/>
          <w:b/>
          <w:bCs/>
          <w:color w:val="000000" w:themeColor="text1"/>
          <w:sz w:val="32"/>
          <w:szCs w:val="32"/>
          <w:shd w:val="clear" w:color="auto" w:fill="FFFFFF"/>
          <w14:textFill>
            <w14:solidFill>
              <w14:schemeClr w14:val="tx1"/>
            </w14:solidFill>
          </w14:textFill>
        </w:rPr>
        <w:t>三十一</w:t>
      </w:r>
      <w:r>
        <w:rPr>
          <w:rFonts w:ascii="仿宋" w:hAnsi="仿宋" w:eastAsia="仿宋" w:cs="仿宋_GB2312"/>
          <w:b/>
          <w:bCs/>
          <w:color w:val="000000" w:themeColor="text1"/>
          <w:sz w:val="32"/>
          <w:szCs w:val="32"/>
          <w:shd w:val="clear" w:color="auto" w:fill="FFFFFF"/>
          <w14:textFill>
            <w14:solidFill>
              <w14:schemeClr w14:val="tx1"/>
            </w14:solidFill>
          </w14:textFill>
        </w:rPr>
        <w:t>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典当行应当制定债务催收制度，按照法律法规和监督管理部门要求，规范债务催收程序和方式。</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典当行及</w:t>
      </w:r>
      <w:r>
        <w:rPr>
          <w:rFonts w:hint="eastAsia" w:ascii="仿宋" w:hAnsi="仿宋" w:eastAsia="仿宋" w:cs="仿宋_GB2312"/>
          <w:color w:val="000000" w:themeColor="text1"/>
          <w:sz w:val="32"/>
          <w:szCs w:val="32"/>
          <w:shd w:val="clear" w:color="auto" w:fill="FFFFFF"/>
          <w14:textFill>
            <w14:solidFill>
              <w14:schemeClr w14:val="tx1"/>
            </w14:solidFill>
          </w14:textFill>
        </w:rPr>
        <w:t>关联主体</w:t>
      </w:r>
      <w:r>
        <w:rPr>
          <w:rFonts w:ascii="仿宋" w:hAnsi="仿宋" w:eastAsia="仿宋" w:cs="仿宋_GB2312"/>
          <w:color w:val="000000" w:themeColor="text1"/>
          <w:sz w:val="32"/>
          <w:szCs w:val="32"/>
          <w:shd w:val="clear" w:color="auto" w:fill="FFFFFF"/>
          <w14:textFill>
            <w14:solidFill>
              <w14:schemeClr w14:val="tx1"/>
            </w14:solidFill>
          </w14:textFill>
        </w:rPr>
        <w:t>不得涉黑涉恶，不得以暴力或者威胁使用暴力，故意伤害他人身体，侵犯人身自由，非法占有被催收人的财产，侮辱、诽谤、骚扰等方式干扰他人正常生活，违规散布他人隐私等非法手段进行债务催收。</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第三十</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二</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典当行应当按照国家有关规定，真实记录并全面反映其业务活动和财务状况，于每月初5</w:t>
      </w:r>
      <w:r>
        <w:rPr>
          <w:rFonts w:hint="eastAsia" w:ascii="仿宋" w:hAnsi="仿宋" w:eastAsia="仿宋" w:cs="仿宋_GB2312"/>
          <w:color w:val="000000" w:themeColor="text1"/>
          <w:sz w:val="32"/>
          <w:szCs w:val="32"/>
          <w:shd w:val="clear" w:color="auto" w:fill="FFFFFF"/>
          <w14:textFill>
            <w14:solidFill>
              <w14:schemeClr w14:val="tx1"/>
            </w14:solidFill>
          </w14:textFill>
        </w:rPr>
        <w:t>个工作日</w:t>
      </w:r>
      <w:r>
        <w:rPr>
          <w:rFonts w:ascii="仿宋" w:hAnsi="仿宋" w:eastAsia="仿宋" w:cs="仿宋_GB2312"/>
          <w:color w:val="000000" w:themeColor="text1"/>
          <w:sz w:val="32"/>
          <w:szCs w:val="32"/>
          <w:shd w:val="clear" w:color="auto" w:fill="FFFFFF"/>
          <w14:textFill>
            <w14:solidFill>
              <w14:schemeClr w14:val="tx1"/>
            </w14:solidFill>
          </w14:textFill>
        </w:rPr>
        <w:t>内通过</w:t>
      </w:r>
      <w:r>
        <w:rPr>
          <w:rFonts w:hint="eastAsia" w:ascii="仿宋" w:hAnsi="仿宋" w:eastAsia="仿宋" w:cs="仿宋_GB2312"/>
          <w:color w:val="000000" w:themeColor="text1"/>
          <w:sz w:val="32"/>
          <w:szCs w:val="32"/>
          <w:shd w:val="clear" w:color="auto" w:fill="FFFFFF"/>
          <w14:textFill>
            <w14:solidFill>
              <w14:schemeClr w14:val="tx1"/>
            </w14:solidFill>
          </w14:textFill>
        </w:rPr>
        <w:t>监管系统</w:t>
      </w:r>
      <w:r>
        <w:rPr>
          <w:rFonts w:ascii="仿宋" w:hAnsi="仿宋" w:eastAsia="仿宋" w:cs="仿宋_GB2312"/>
          <w:color w:val="000000" w:themeColor="text1"/>
          <w:sz w:val="32"/>
          <w:szCs w:val="32"/>
          <w:shd w:val="clear" w:color="auto" w:fill="FFFFFF"/>
          <w14:textFill>
            <w14:solidFill>
              <w14:schemeClr w14:val="tx1"/>
            </w14:solidFill>
          </w14:textFill>
        </w:rPr>
        <w:t>报送上月典当经营情况表和财务会计月报表等信息，确保报送信息的真实、准确、完整。</w:t>
      </w:r>
    </w:p>
    <w:p>
      <w:pPr>
        <w:pStyle w:val="5"/>
        <w:widowControl/>
        <w:shd w:val="clear" w:color="auto" w:fill="FFFFFF"/>
        <w:adjustRightInd w:val="0"/>
        <w:snapToGrid w:val="0"/>
        <w:spacing w:before="0" w:beforeAutospacing="0" w:after="0" w:afterAutospacing="0" w:line="580" w:lineRule="exact"/>
        <w:ind w:firstLine="645"/>
        <w:jc w:val="both"/>
        <w:rPr>
          <w:rFonts w:ascii="仿宋_GB2312" w:hAnsi="sans-serif" w:eastAsia="仿宋_GB2312" w:cs="仿宋_GB2312"/>
          <w:color w:val="000000" w:themeColor="text1"/>
          <w:sz w:val="32"/>
          <w:szCs w:val="32"/>
          <w:shd w:val="clear" w:color="auto" w:fill="FFFFFF"/>
          <w14:textFill>
            <w14:solidFill>
              <w14:schemeClr w14:val="tx1"/>
            </w14:solidFill>
          </w14:textFill>
        </w:rPr>
      </w:pPr>
    </w:p>
    <w:p>
      <w:pPr>
        <w:pStyle w:val="5"/>
        <w:widowControl/>
        <w:shd w:val="clear" w:color="auto" w:fill="FFFFFF"/>
        <w:adjustRightInd w:val="0"/>
        <w:snapToGrid w:val="0"/>
        <w:spacing w:before="0" w:beforeAutospacing="0" w:after="0" w:afterAutospacing="0" w:line="580" w:lineRule="exact"/>
        <w:jc w:val="center"/>
        <w:rPr>
          <w:rFonts w:ascii="sans-serif" w:hAnsi="sans-serif" w:eastAsia="sans-serif" w:cs="sans-serif"/>
          <w:color w:val="000000" w:themeColor="text1"/>
          <w:sz w:val="32"/>
          <w:szCs w:val="32"/>
          <w14:textFill>
            <w14:solidFill>
              <w14:schemeClr w14:val="tx1"/>
            </w14:solidFill>
          </w14:textFill>
        </w:rPr>
      </w:pPr>
      <w:r>
        <w:rPr>
          <w:rFonts w:ascii="黑体" w:hAnsi="宋体" w:eastAsia="黑体" w:cs="黑体"/>
          <w:color w:val="000000" w:themeColor="text1"/>
          <w:sz w:val="32"/>
          <w:szCs w:val="32"/>
          <w:shd w:val="clear" w:color="auto" w:fill="FFFFFF"/>
          <w14:textFill>
            <w14:solidFill>
              <w14:schemeClr w14:val="tx1"/>
            </w14:solidFill>
          </w14:textFill>
        </w:rPr>
        <w:t>第四章  监督管理</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_GB2312" w:hAnsi="sans-serif" w:eastAsia="仿宋_GB2312" w:cs="仿宋_GB2312"/>
          <w:color w:val="000000" w:themeColor="text1"/>
          <w:sz w:val="32"/>
          <w:szCs w:val="32"/>
          <w:shd w:val="clear" w:color="auto" w:fill="FFFFFF"/>
          <w14:textFill>
            <w14:solidFill>
              <w14:schemeClr w14:val="tx1"/>
            </w14:solidFill>
          </w14:textFill>
        </w:rPr>
      </w:pPr>
    </w:p>
    <w:p>
      <w:pPr>
        <w:autoSpaceDE w:val="0"/>
        <w:autoSpaceDN w:val="0"/>
        <w:adjustRightInd w:val="0"/>
        <w:snapToGrid w:val="0"/>
        <w:spacing w:line="580" w:lineRule="exact"/>
        <w:ind w:firstLine="643" w:firstLineChars="200"/>
        <w:rPr>
          <w:rFonts w:ascii="仿宋" w:hAnsi="仿宋" w:eastAsia="仿宋"/>
          <w:color w:val="000000" w:themeColor="text1"/>
          <w:kern w:val="0"/>
          <w:sz w:val="32"/>
          <w:szCs w:val="32"/>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第三十</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三</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olor w:val="000000" w:themeColor="text1"/>
          <w:kern w:val="0"/>
          <w:sz w:val="32"/>
          <w:szCs w:val="32"/>
          <w14:textFill>
            <w14:solidFill>
              <w14:schemeClr w14:val="tx1"/>
            </w14:solidFill>
          </w14:textFill>
        </w:rPr>
        <w:t xml:space="preserve"> 各级地方金融监督管理部门应当加强监管队伍建设，提高监管专业化水平，按照监管要求和职责配备专职监管员，专职监管员的人数、能力应当与监管对象数量、业务规模相匹配。</w:t>
      </w:r>
    </w:p>
    <w:p>
      <w:pPr>
        <w:autoSpaceDE w:val="0"/>
        <w:autoSpaceDN w:val="0"/>
        <w:adjustRightInd w:val="0"/>
        <w:snapToGrid w:val="0"/>
        <w:spacing w:line="580" w:lineRule="exact"/>
        <w:ind w:firstLine="643"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s="方正仿宋_GBK"/>
          <w:b/>
          <w:bCs/>
          <w:color w:val="000000" w:themeColor="text1"/>
          <w:kern w:val="0"/>
          <w:sz w:val="32"/>
          <w:szCs w:val="32"/>
          <w14:textFill>
            <w14:solidFill>
              <w14:schemeClr w14:val="tx1"/>
            </w14:solidFill>
          </w14:textFill>
        </w:rPr>
        <w:t xml:space="preserve">第三十四条  </w:t>
      </w:r>
      <w:r>
        <w:rPr>
          <w:rFonts w:ascii="仿宋" w:hAnsi="仿宋" w:eastAsia="仿宋"/>
          <w:color w:val="000000" w:themeColor="text1"/>
          <w:kern w:val="0"/>
          <w:sz w:val="32"/>
          <w:szCs w:val="32"/>
          <w14:textFill>
            <w14:solidFill>
              <w14:schemeClr w14:val="tx1"/>
            </w14:solidFill>
          </w14:textFill>
        </w:rPr>
        <w:t>省地方金融监督管理局根据需要组织对全省范围</w:t>
      </w: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的现场检查工作。市、县级地方金融监督管理部门根据需要组织对辖区内</w:t>
      </w: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的现场检查工作。现场检查相关程序和要求根据《湖北省类金融机构现场检查办法》执行。</w:t>
      </w:r>
    </w:p>
    <w:p>
      <w:pPr>
        <w:tabs>
          <w:tab w:val="left" w:pos="792"/>
        </w:tabs>
        <w:autoSpaceDE w:val="0"/>
        <w:autoSpaceDN w:val="0"/>
        <w:adjustRightInd w:val="0"/>
        <w:snapToGrid w:val="0"/>
        <w:spacing w:line="580" w:lineRule="exact"/>
        <w:ind w:firstLine="63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及相关个人应当配合监管部门进行检查，不得妨害、拒绝和阻碍。</w:t>
      </w:r>
    </w:p>
    <w:p>
      <w:pPr>
        <w:tabs>
          <w:tab w:val="left" w:pos="792"/>
        </w:tabs>
        <w:autoSpaceDE w:val="0"/>
        <w:autoSpaceDN w:val="0"/>
        <w:adjustRightInd w:val="0"/>
        <w:snapToGrid w:val="0"/>
        <w:spacing w:line="580" w:lineRule="exact"/>
        <w:ind w:firstLine="630"/>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第三十五条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省地方金融监督管理局组织建设全省典当行监管信息系统，督促、指导市县地方金融监督管理部门利用监管信息系统开展非现场监管。</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市、县级地方金融监督管理部门应当在依法收集并处理典当行相关信息的基础上，分析和评估经营活动及风险状况，及时进行风险预警并采取相应监管措施。市、县级地方金融监督管理部门可以根据监管需要，要求典当行报送日常报表之外的其他文件和资料，全面收集典当行经营情况和风险状况。地方金融监督管理部门在采集相关信息时，对潜在风险或经营管理中可能存在的问题，可以通过询问、要求提供补充材料、监管谈话等方式予以确认和证实。</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市级地方金融监督管理部门应当于次月7个工作日内、季后10个工作日内、次年1个月内，将辖内典当行监管月度、季度、年度报告报送省地方金融监督管理局，省地方金融监督管理局汇总形成全省典当行业监管报告。</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三十六</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 xml:space="preserve"> </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省地方金融</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监督管理局</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建立全省典当行年审和监管评级制度，组织</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市、县级地方金融监督管理部门</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对</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辖区</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典当行进行年审，根据典当行的经营规模、服务对象、管理水平、信用状况、风险状况</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、合规经营</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等情况开展监管评级，并根据评级结果实施分类监管。</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 </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典当行年审由</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省地方金融监督管理局</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按不低于1/3的覆盖面组织开展，时间为次年4月1日至9月30日。</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三十七</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  各级地方金融</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监督管理</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部门应当对有以下行为的典当行进行重点检查：</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（一）</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业务或者财务出现异常</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，抽逃出资或挪用资金、账外经营或体外循环</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（二）</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股东以典当行名义为自己招揽业务或利用典当行违法违规从事金融活动</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（三）</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不按时提交或者提供虚假的经营报告、财务报告、年度审计报告等文件和资料；</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（四）出租、出借、倒卖典当许可证；</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（五）</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涉嫌集资、吸收存款或变相吸收存款、与其他典当行拆借或变相拆借资金、通过网络借贷信息中介机构、私募投资基金等机构或渠道融资</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（六）</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故意收当</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本细则第十八条所列当物；</w:t>
      </w:r>
    </w:p>
    <w:p>
      <w:pPr>
        <w:pStyle w:val="5"/>
        <w:widowControl/>
        <w:shd w:val="clear" w:color="auto" w:fill="FFFFFF"/>
        <w:adjustRightInd w:val="0"/>
        <w:snapToGrid w:val="0"/>
        <w:spacing w:before="0" w:beforeAutospacing="0" w:after="0" w:afterAutospacing="0" w:line="580" w:lineRule="exact"/>
        <w:ind w:firstLine="640" w:firstLineChars="200"/>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（七）其他</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重大违法违规行为及法律法规和地方金融</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监督管理</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部门禁止的行为。</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三十八</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各级</w:t>
      </w:r>
      <w:r>
        <w:rPr>
          <w:rFonts w:ascii="仿宋" w:hAnsi="仿宋" w:eastAsia="仿宋" w:cs="仿宋_GB2312"/>
          <w:color w:val="000000" w:themeColor="text1"/>
          <w:sz w:val="32"/>
          <w:szCs w:val="32"/>
          <w:shd w:val="clear" w:color="auto" w:fill="FFFFFF"/>
          <w14:textFill>
            <w14:solidFill>
              <w14:schemeClr w14:val="tx1"/>
            </w14:solidFill>
          </w14:textFill>
        </w:rPr>
        <w:t>地方金融</w:t>
      </w:r>
      <w:r>
        <w:rPr>
          <w:rFonts w:hint="eastAsia" w:ascii="仿宋" w:hAnsi="仿宋" w:eastAsia="仿宋" w:cs="仿宋_GB2312"/>
          <w:color w:val="000000" w:themeColor="text1"/>
          <w:sz w:val="32"/>
          <w:szCs w:val="32"/>
          <w:shd w:val="clear" w:color="auto" w:fill="FFFFFF"/>
          <w14:textFill>
            <w14:solidFill>
              <w14:schemeClr w14:val="tx1"/>
            </w14:solidFill>
          </w14:textFill>
        </w:rPr>
        <w:t>监督管理</w:t>
      </w:r>
      <w:r>
        <w:rPr>
          <w:rFonts w:ascii="仿宋" w:hAnsi="仿宋" w:eastAsia="仿宋" w:cs="仿宋_GB2312"/>
          <w:color w:val="000000" w:themeColor="text1"/>
          <w:sz w:val="32"/>
          <w:szCs w:val="32"/>
          <w:shd w:val="clear" w:color="auto" w:fill="FFFFFF"/>
          <w14:textFill>
            <w14:solidFill>
              <w14:schemeClr w14:val="tx1"/>
            </w14:solidFill>
          </w14:textFill>
        </w:rPr>
        <w:t>部门根据工作需要，可以聘请律师事务所、会计师事务所等第三方机构或外部专业人员参与监督检查，并将相应费用支出纳入年度预算安排。</w:t>
      </w:r>
    </w:p>
    <w:p>
      <w:pPr>
        <w:tabs>
          <w:tab w:val="left" w:pos="792"/>
        </w:tabs>
        <w:autoSpaceDE w:val="0"/>
        <w:autoSpaceDN w:val="0"/>
        <w:adjustRightInd w:val="0"/>
        <w:snapToGrid w:val="0"/>
        <w:spacing w:line="580" w:lineRule="exact"/>
        <w:ind w:firstLine="629"/>
        <w:outlineLvl w:val="2"/>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s="方正仿宋_GBK"/>
          <w:b/>
          <w:bCs/>
          <w:color w:val="000000" w:themeColor="text1"/>
          <w:kern w:val="0"/>
          <w:sz w:val="32"/>
          <w:szCs w:val="32"/>
          <w14:textFill>
            <w14:solidFill>
              <w14:schemeClr w14:val="tx1"/>
            </w14:solidFill>
          </w14:textFill>
        </w:rPr>
        <w:t>第三十九条</w:t>
      </w:r>
      <w:r>
        <w:rPr>
          <w:rFonts w:ascii="仿宋" w:hAnsi="仿宋" w:eastAsia="仿宋"/>
          <w:color w:val="000000" w:themeColor="text1"/>
          <w:kern w:val="0"/>
          <w:sz w:val="32"/>
          <w:szCs w:val="32"/>
          <w14:textFill>
            <w14:solidFill>
              <w14:schemeClr w14:val="tx1"/>
            </w14:solidFill>
          </w14:textFill>
        </w:rPr>
        <w:t xml:space="preserve">  各级地方金融监督管理部门</w:t>
      </w:r>
      <w:r>
        <w:rPr>
          <w:rFonts w:hint="eastAsia" w:ascii="仿宋" w:hAnsi="仿宋" w:eastAsia="仿宋"/>
          <w:color w:val="000000" w:themeColor="text1"/>
          <w:kern w:val="0"/>
          <w:sz w:val="32"/>
          <w:szCs w:val="32"/>
          <w14:textFill>
            <w14:solidFill>
              <w14:schemeClr w14:val="tx1"/>
            </w14:solidFill>
          </w14:textFill>
        </w:rPr>
        <w:t>针对监管</w:t>
      </w:r>
      <w:r>
        <w:rPr>
          <w:rFonts w:ascii="仿宋" w:hAnsi="仿宋" w:eastAsia="仿宋"/>
          <w:color w:val="000000" w:themeColor="text1"/>
          <w:kern w:val="0"/>
          <w:sz w:val="32"/>
          <w:szCs w:val="32"/>
          <w14:textFill>
            <w14:solidFill>
              <w14:schemeClr w14:val="tx1"/>
            </w14:solidFill>
          </w14:textFill>
        </w:rPr>
        <w:t>发现的问题，对</w:t>
      </w: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提出明确的整改和监管意见。</w:t>
      </w:r>
    </w:p>
    <w:p>
      <w:pPr>
        <w:tabs>
          <w:tab w:val="left" w:pos="792"/>
        </w:tabs>
        <w:autoSpaceDE w:val="0"/>
        <w:autoSpaceDN w:val="0"/>
        <w:adjustRightInd w:val="0"/>
        <w:snapToGrid w:val="0"/>
        <w:spacing w:line="580" w:lineRule="exact"/>
        <w:ind w:firstLine="630"/>
        <w:rPr>
          <w:rFonts w:ascii="仿宋" w:hAnsi="仿宋" w:eastAsia="仿宋"/>
          <w:color w:val="000000" w:themeColor="text1"/>
          <w:kern w:val="0"/>
          <w:sz w:val="32"/>
          <w:szCs w:val="32"/>
          <w14:textFill>
            <w14:solidFill>
              <w14:schemeClr w14:val="tx1"/>
            </w14:solidFill>
          </w14:textFill>
        </w:rPr>
      </w:pPr>
      <w:r>
        <w:rPr>
          <w:rFonts w:ascii="仿宋" w:hAnsi="仿宋" w:eastAsia="仿宋"/>
          <w:color w:val="000000" w:themeColor="text1"/>
          <w:kern w:val="0"/>
          <w:sz w:val="32"/>
          <w:szCs w:val="32"/>
          <w14:textFill>
            <w14:solidFill>
              <w14:schemeClr w14:val="tx1"/>
            </w14:solidFill>
          </w14:textFill>
        </w:rPr>
        <w:t>各级地方金融监督管理部门应当采取有效监管措施，督促</w:t>
      </w: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及时整改。</w:t>
      </w:r>
    </w:p>
    <w:p>
      <w:pPr>
        <w:autoSpaceDE w:val="0"/>
        <w:autoSpaceDN w:val="0"/>
        <w:adjustRightInd w:val="0"/>
        <w:snapToGrid w:val="0"/>
        <w:spacing w:line="580" w:lineRule="exact"/>
        <w:ind w:firstLine="643" w:firstLineChars="200"/>
        <w:rPr>
          <w:rFonts w:ascii="仿宋" w:hAnsi="仿宋" w:eastAsia="仿宋" w:cs="仿宋_GB2312"/>
          <w:color w:val="000000" w:themeColor="text1"/>
          <w:sz w:val="32"/>
          <w:szCs w:val="32"/>
          <w:shd w:val="clear" w:color="auto" w:fill="FFFFFF"/>
          <w14:textFill>
            <w14:solidFill>
              <w14:schemeClr w14:val="tx1"/>
            </w14:solidFill>
          </w14:textFill>
        </w:rPr>
      </w:pPr>
      <w:r>
        <w:rPr>
          <w:rFonts w:hint="eastAsia" w:ascii="仿宋" w:hAnsi="仿宋" w:eastAsia="仿宋" w:cs="方正仿宋_GBK"/>
          <w:b/>
          <w:bCs/>
          <w:color w:val="000000" w:themeColor="text1"/>
          <w:kern w:val="0"/>
          <w:sz w:val="32"/>
          <w:szCs w:val="32"/>
          <w14:textFill>
            <w14:solidFill>
              <w14:schemeClr w14:val="tx1"/>
            </w14:solidFill>
          </w14:textFill>
        </w:rPr>
        <w:t xml:space="preserve">第四十条 </w:t>
      </w:r>
      <w:r>
        <w:rPr>
          <w:rFonts w:ascii="仿宋" w:hAnsi="仿宋" w:eastAsia="仿宋"/>
          <w:color w:val="000000" w:themeColor="text1"/>
          <w:kern w:val="0"/>
          <w:sz w:val="32"/>
          <w:szCs w:val="32"/>
          <w14:textFill>
            <w14:solidFill>
              <w14:schemeClr w14:val="tx1"/>
            </w14:solidFill>
          </w14:textFill>
        </w:rPr>
        <w:t xml:space="preserve"> 各级地方金融监督管理部门在履行职责过程中，发现</w:t>
      </w: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有涉嫌违反监管要求的行为或者存在其他风险隐患的，可以与其实际控制人、主要股东、法定代表人、董事、监事、高级管理人员等进行监管谈话，要求其就相关业务活动和风险管理的重大事项作出说明。</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b/>
          <w:bCs/>
          <w:color w:val="000000" w:themeColor="text1"/>
          <w:sz w:val="32"/>
          <w:szCs w:val="32"/>
          <w:shd w:val="clear" w:color="auto" w:fill="FFFFFF"/>
          <w14:textFill>
            <w14:solidFill>
              <w14:schemeClr w14:val="tx1"/>
            </w14:solidFill>
          </w14:textFill>
        </w:rPr>
        <w:t>第</w:t>
      </w:r>
      <w:r>
        <w:rPr>
          <w:rFonts w:hint="eastAsia" w:ascii="仿宋" w:hAnsi="仿宋" w:eastAsia="仿宋" w:cs="仿宋_GB2312"/>
          <w:b/>
          <w:bCs/>
          <w:color w:val="000000" w:themeColor="text1"/>
          <w:sz w:val="32"/>
          <w:szCs w:val="32"/>
          <w:shd w:val="clear" w:color="auto" w:fill="FFFFFF"/>
          <w14:textFill>
            <w14:solidFill>
              <w14:schemeClr w14:val="tx1"/>
            </w14:solidFill>
          </w14:textFill>
        </w:rPr>
        <w:t>四十一条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各级地方金融监督管理部门</w:t>
      </w:r>
      <w:r>
        <w:rPr>
          <w:rFonts w:ascii="仿宋" w:hAnsi="仿宋" w:eastAsia="仿宋" w:cs="仿宋_GB2312"/>
          <w:color w:val="000000" w:themeColor="text1"/>
          <w:sz w:val="32"/>
          <w:szCs w:val="32"/>
          <w:shd w:val="clear" w:color="auto" w:fill="FFFFFF"/>
          <w14:textFill>
            <w14:solidFill>
              <w14:schemeClr w14:val="tx1"/>
            </w14:solidFill>
          </w14:textFill>
        </w:rPr>
        <w:t>及其工作人员对工作中知悉的典当行商业秘密，应当依法予以保密。</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b/>
          <w:bCs/>
          <w:color w:val="000000" w:themeColor="text1"/>
          <w:sz w:val="32"/>
          <w:szCs w:val="32"/>
          <w:shd w:val="clear" w:color="auto" w:fill="FFFFFF"/>
          <w14:textFill>
            <w14:solidFill>
              <w14:schemeClr w14:val="tx1"/>
            </w14:solidFill>
          </w14:textFill>
        </w:rPr>
        <w:t>第</w:t>
      </w:r>
      <w:r>
        <w:rPr>
          <w:rFonts w:hint="eastAsia" w:ascii="仿宋" w:hAnsi="仿宋" w:eastAsia="仿宋" w:cs="仿宋_GB2312"/>
          <w:b/>
          <w:bCs/>
          <w:color w:val="000000" w:themeColor="text1"/>
          <w:sz w:val="32"/>
          <w:szCs w:val="32"/>
          <w:shd w:val="clear" w:color="auto" w:fill="FFFFFF"/>
          <w14:textFill>
            <w14:solidFill>
              <w14:schemeClr w14:val="tx1"/>
            </w14:solidFill>
          </w14:textFill>
        </w:rPr>
        <w:t>四十二</w:t>
      </w:r>
      <w:r>
        <w:rPr>
          <w:rFonts w:ascii="仿宋" w:hAnsi="仿宋" w:eastAsia="仿宋" w:cs="仿宋_GB2312"/>
          <w:b/>
          <w:bCs/>
          <w:color w:val="000000" w:themeColor="text1"/>
          <w:sz w:val="32"/>
          <w:szCs w:val="32"/>
          <w:shd w:val="clear" w:color="auto" w:fill="FFFFFF"/>
          <w14:textFill>
            <w14:solidFill>
              <w14:schemeClr w14:val="tx1"/>
            </w14:solidFill>
          </w14:textFill>
        </w:rPr>
        <w:t>条</w:t>
      </w:r>
      <w:r>
        <w:rPr>
          <w:rFonts w:hint="eastAsia" w:ascii="仿宋" w:hAnsi="仿宋" w:eastAsia="仿宋" w:cs="仿宋_GB2312"/>
          <w:color w:val="000000" w:themeColor="text1"/>
          <w:sz w:val="32"/>
          <w:szCs w:val="32"/>
          <w:shd w:val="clear" w:color="auto" w:fill="FFFFFF"/>
          <w14:textFill>
            <w14:solidFill>
              <w14:schemeClr w14:val="tx1"/>
            </w14:solidFill>
          </w14:textFill>
        </w:rPr>
        <w:t xml:space="preserve">  省典当</w:t>
      </w:r>
      <w:r>
        <w:rPr>
          <w:rFonts w:ascii="仿宋" w:hAnsi="仿宋" w:eastAsia="仿宋" w:cs="仿宋_GB2312"/>
          <w:color w:val="000000" w:themeColor="text1"/>
          <w:sz w:val="32"/>
          <w:szCs w:val="32"/>
          <w:shd w:val="clear" w:color="auto" w:fill="FFFFFF"/>
          <w14:textFill>
            <w14:solidFill>
              <w14:schemeClr w14:val="tx1"/>
            </w14:solidFill>
          </w14:textFill>
        </w:rPr>
        <w:t>行业协会依照章程可以开展以下工作：</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（一）制定行业自律规则，督促、</w:t>
      </w:r>
      <w:r>
        <w:rPr>
          <w:rFonts w:hint="eastAsia" w:ascii="仿宋" w:hAnsi="仿宋" w:eastAsia="仿宋" w:cs="仿宋_GB2312"/>
          <w:color w:val="000000" w:themeColor="text1"/>
          <w:sz w:val="32"/>
          <w:szCs w:val="32"/>
          <w:shd w:val="clear" w:color="auto" w:fill="FFFFFF"/>
          <w14:textFill>
            <w14:solidFill>
              <w14:schemeClr w14:val="tx1"/>
            </w14:solidFill>
          </w14:textFill>
        </w:rPr>
        <w:t>约束</w:t>
      </w:r>
      <w:r>
        <w:rPr>
          <w:rFonts w:ascii="仿宋" w:hAnsi="仿宋" w:eastAsia="仿宋" w:cs="仿宋_GB2312"/>
          <w:color w:val="000000" w:themeColor="text1"/>
          <w:sz w:val="32"/>
          <w:szCs w:val="32"/>
          <w:shd w:val="clear" w:color="auto" w:fill="FFFFFF"/>
          <w14:textFill>
            <w14:solidFill>
              <w14:schemeClr w14:val="tx1"/>
            </w14:solidFill>
          </w14:textFill>
        </w:rPr>
        <w:t>会员及其从业人员行为，实施自律管理；</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（二）维护会员合法权益，反映行业建议和诉求，配合地方金融</w:t>
      </w:r>
      <w:r>
        <w:rPr>
          <w:rFonts w:hint="eastAsia" w:ascii="仿宋" w:hAnsi="仿宋" w:eastAsia="仿宋" w:cs="仿宋_GB2312"/>
          <w:color w:val="000000" w:themeColor="text1"/>
          <w:sz w:val="32"/>
          <w:szCs w:val="32"/>
          <w:shd w:val="clear" w:color="auto" w:fill="FFFFFF"/>
          <w14:textFill>
            <w14:solidFill>
              <w14:schemeClr w14:val="tx1"/>
            </w14:solidFill>
          </w14:textFill>
        </w:rPr>
        <w:t>监督</w:t>
      </w:r>
      <w:r>
        <w:rPr>
          <w:rFonts w:ascii="仿宋" w:hAnsi="仿宋" w:eastAsia="仿宋" w:cs="仿宋_GB2312"/>
          <w:color w:val="000000" w:themeColor="text1"/>
          <w:sz w:val="32"/>
          <w:szCs w:val="32"/>
          <w:shd w:val="clear" w:color="auto" w:fill="FFFFFF"/>
          <w14:textFill>
            <w14:solidFill>
              <w14:schemeClr w14:val="tx1"/>
            </w14:solidFill>
          </w14:textFill>
        </w:rPr>
        <w:t>管理部门开展行业监管工作；</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（三）督促会员开展金融消费者适当性教育，开展纠纷调解，维护金融消费者合法权益；</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（四）调查处理针对会员违法违规行为的投诉；</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（五）组织开展会员培训与交流；</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仿宋_GB2312"/>
          <w:color w:val="000000" w:themeColor="text1"/>
          <w:sz w:val="32"/>
          <w:szCs w:val="32"/>
          <w:shd w:val="clear" w:color="auto" w:fill="FFFFFF"/>
          <w14:textFill>
            <w14:solidFill>
              <w14:schemeClr w14:val="tx1"/>
            </w14:solidFill>
          </w14:textFill>
        </w:rPr>
      </w:pPr>
      <w:r>
        <w:rPr>
          <w:rFonts w:ascii="仿宋" w:hAnsi="仿宋" w:eastAsia="仿宋" w:cs="仿宋_GB2312"/>
          <w:color w:val="000000" w:themeColor="text1"/>
          <w:sz w:val="32"/>
          <w:szCs w:val="32"/>
          <w:shd w:val="clear" w:color="auto" w:fill="FFFFFF"/>
          <w14:textFill>
            <w14:solidFill>
              <w14:schemeClr w14:val="tx1"/>
            </w14:solidFill>
          </w14:textFill>
        </w:rPr>
        <w:t>（</w:t>
      </w:r>
      <w:r>
        <w:rPr>
          <w:rFonts w:hint="eastAsia" w:ascii="仿宋" w:hAnsi="仿宋" w:eastAsia="仿宋" w:cs="仿宋_GB2312"/>
          <w:color w:val="000000" w:themeColor="text1"/>
          <w:sz w:val="32"/>
          <w:szCs w:val="32"/>
          <w:shd w:val="clear" w:color="auto" w:fill="FFFFFF"/>
          <w14:textFill>
            <w14:solidFill>
              <w14:schemeClr w14:val="tx1"/>
            </w14:solidFill>
          </w14:textFill>
        </w:rPr>
        <w:t>六</w:t>
      </w:r>
      <w:r>
        <w:rPr>
          <w:rFonts w:ascii="仿宋" w:hAnsi="仿宋" w:eastAsia="仿宋" w:cs="仿宋_GB2312"/>
          <w:color w:val="000000" w:themeColor="text1"/>
          <w:sz w:val="32"/>
          <w:szCs w:val="32"/>
          <w:shd w:val="clear" w:color="auto" w:fill="FFFFFF"/>
          <w14:textFill>
            <w14:solidFill>
              <w14:schemeClr w14:val="tx1"/>
            </w14:solidFill>
          </w14:textFill>
        </w:rPr>
        <w:t>）承办</w:t>
      </w:r>
      <w:r>
        <w:rPr>
          <w:rFonts w:hint="eastAsia" w:ascii="仿宋" w:hAnsi="仿宋" w:eastAsia="仿宋" w:cs="仿宋_GB2312"/>
          <w:color w:val="000000" w:themeColor="text1"/>
          <w:sz w:val="32"/>
          <w:szCs w:val="32"/>
          <w:shd w:val="clear" w:color="auto" w:fill="FFFFFF"/>
          <w14:textFill>
            <w14:solidFill>
              <w14:schemeClr w14:val="tx1"/>
            </w14:solidFill>
          </w14:textFill>
        </w:rPr>
        <w:t>省</w:t>
      </w:r>
      <w:r>
        <w:rPr>
          <w:rFonts w:ascii="仿宋" w:hAnsi="仿宋" w:eastAsia="仿宋" w:cs="仿宋_GB2312"/>
          <w:color w:val="000000" w:themeColor="text1"/>
          <w:sz w:val="32"/>
          <w:szCs w:val="32"/>
          <w:shd w:val="clear" w:color="auto" w:fill="FFFFFF"/>
          <w14:textFill>
            <w14:solidFill>
              <w14:schemeClr w14:val="tx1"/>
            </w14:solidFill>
          </w14:textFill>
        </w:rPr>
        <w:t>地方金融</w:t>
      </w:r>
      <w:r>
        <w:rPr>
          <w:rFonts w:hint="eastAsia" w:ascii="仿宋" w:hAnsi="仿宋" w:eastAsia="仿宋" w:cs="仿宋_GB2312"/>
          <w:color w:val="000000" w:themeColor="text1"/>
          <w:sz w:val="32"/>
          <w:szCs w:val="32"/>
          <w:shd w:val="clear" w:color="auto" w:fill="FFFFFF"/>
          <w14:textFill>
            <w14:solidFill>
              <w14:schemeClr w14:val="tx1"/>
            </w14:solidFill>
          </w14:textFill>
        </w:rPr>
        <w:t>监督管理</w:t>
      </w:r>
      <w:r>
        <w:rPr>
          <w:rFonts w:ascii="仿宋" w:hAnsi="仿宋" w:eastAsia="仿宋" w:cs="仿宋_GB2312"/>
          <w:color w:val="000000" w:themeColor="text1"/>
          <w:sz w:val="32"/>
          <w:szCs w:val="32"/>
          <w:shd w:val="clear" w:color="auto" w:fill="FFFFFF"/>
          <w14:textFill>
            <w14:solidFill>
              <w14:schemeClr w14:val="tx1"/>
            </w14:solidFill>
          </w14:textFill>
        </w:rPr>
        <w:t>局交办、委托的其他事项。</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_GB2312" w:hAnsi="sans-serif" w:eastAsia="仿宋_GB2312" w:cs="仿宋_GB2312"/>
          <w:color w:val="000000" w:themeColor="text1"/>
          <w:sz w:val="32"/>
          <w:szCs w:val="32"/>
          <w:shd w:val="clear" w:color="auto" w:fill="FFFFFF"/>
          <w14:textFill>
            <w14:solidFill>
              <w14:schemeClr w14:val="tx1"/>
            </w14:solidFill>
          </w14:textFill>
        </w:rPr>
      </w:pPr>
    </w:p>
    <w:p>
      <w:pPr>
        <w:pStyle w:val="5"/>
        <w:widowControl/>
        <w:shd w:val="clear" w:color="auto" w:fill="FFFFFF"/>
        <w:adjustRightInd w:val="0"/>
        <w:snapToGrid w:val="0"/>
        <w:spacing w:before="0" w:beforeAutospacing="0" w:after="0" w:afterAutospacing="0" w:line="580" w:lineRule="exact"/>
        <w:jc w:val="center"/>
        <w:rPr>
          <w:rStyle w:val="7"/>
          <w:rFonts w:ascii="方正黑体_GBK" w:hAnsi="方正黑体_GBK" w:eastAsia="方正黑体_GBK" w:cs="方正黑体_GBK"/>
          <w:b w:val="0"/>
          <w:bCs/>
          <w:color w:val="000000" w:themeColor="text1"/>
          <w:sz w:val="32"/>
          <w:szCs w:val="32"/>
          <w:shd w:val="clear" w:color="auto" w:fill="FFFFFF"/>
          <w14:textFill>
            <w14:solidFill>
              <w14:schemeClr w14:val="tx1"/>
            </w14:solidFill>
          </w14:textFill>
        </w:rPr>
      </w:pPr>
    </w:p>
    <w:p>
      <w:pPr>
        <w:pStyle w:val="5"/>
        <w:widowControl/>
        <w:shd w:val="clear" w:color="auto" w:fill="FFFFFF"/>
        <w:adjustRightInd w:val="0"/>
        <w:snapToGrid w:val="0"/>
        <w:spacing w:before="0" w:beforeAutospacing="0" w:after="0" w:afterAutospacing="0" w:line="580" w:lineRule="exact"/>
        <w:jc w:val="center"/>
        <w:rPr>
          <w:rStyle w:val="7"/>
          <w:rFonts w:ascii="方正黑体_GBK" w:hAnsi="方正黑体_GBK" w:eastAsia="方正黑体_GBK" w:cs="方正黑体_GBK"/>
          <w:b w:val="0"/>
          <w:bCs/>
          <w:color w:val="000000" w:themeColor="text1"/>
          <w:sz w:val="32"/>
          <w:szCs w:val="32"/>
          <w:shd w:val="clear" w:color="auto" w:fill="FFFFFF"/>
          <w14:textFill>
            <w14:solidFill>
              <w14:schemeClr w14:val="tx1"/>
            </w14:solidFill>
          </w14:textFill>
        </w:rPr>
      </w:pPr>
      <w:r>
        <w:rPr>
          <w:rStyle w:val="7"/>
          <w:rFonts w:hint="eastAsia" w:ascii="方正黑体_GBK" w:hAnsi="方正黑体_GBK" w:eastAsia="方正黑体_GBK" w:cs="方正黑体_GBK"/>
          <w:b w:val="0"/>
          <w:bCs/>
          <w:color w:val="000000" w:themeColor="text1"/>
          <w:sz w:val="32"/>
          <w:szCs w:val="32"/>
          <w:shd w:val="clear" w:color="auto" w:fill="FFFFFF"/>
          <w14:textFill>
            <w14:solidFill>
              <w14:schemeClr w14:val="tx1"/>
            </w14:solidFill>
          </w14:textFill>
        </w:rPr>
        <w:t>第五章 风险防范与处置</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_GB2312" w:hAnsi="sans-serif" w:eastAsia="仿宋_GB2312" w:cs="仿宋_GB2312"/>
          <w:color w:val="000000" w:themeColor="text1"/>
          <w:sz w:val="32"/>
          <w:szCs w:val="32"/>
          <w:shd w:val="clear" w:color="auto" w:fill="FFFFFF"/>
          <w14:textFill>
            <w14:solidFill>
              <w14:schemeClr w14:val="tx1"/>
            </w14:solidFill>
          </w14:textFill>
        </w:rPr>
      </w:pP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四十三</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 xml:space="preserve"> </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典当行应当审慎评估自身风险承受能力，建立健全风险管理制度和内部责任追究制度，落实风险处置主体责任，必要时典当行控股股东应当提供流动性支持等保障措施。</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四</w:t>
      </w:r>
      <w:r>
        <w:rPr>
          <w:rStyle w:val="7"/>
          <w:rFonts w:ascii="仿宋" w:hAnsi="仿宋" w:eastAsia="仿宋" w:cs="仿宋_GB2312"/>
          <w:color w:val="000000" w:themeColor="text1"/>
          <w:sz w:val="32"/>
          <w:szCs w:val="32"/>
          <w:shd w:val="clear" w:color="auto" w:fill="FFFFFF"/>
          <w14:textFill>
            <w14:solidFill>
              <w14:schemeClr w14:val="tx1"/>
            </w14:solidFill>
          </w14:textFill>
        </w:rPr>
        <w:t>十</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四</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发生以下重大事项，典当行</w:t>
      </w:r>
      <w:r>
        <w:rPr>
          <w:rFonts w:ascii="仿宋" w:hAnsi="仿宋" w:eastAsia="仿宋" w:cs="仿宋_GB2312"/>
          <w:color w:val="000000" w:themeColor="text1"/>
          <w:sz w:val="32"/>
          <w:szCs w:val="32"/>
          <w:shd w:val="clear" w:color="auto" w:fill="FFFFFF"/>
          <w14:textFill>
            <w14:solidFill>
              <w14:schemeClr w14:val="tx1"/>
            </w14:solidFill>
          </w14:textFill>
        </w:rPr>
        <w:t>应当自知道或者应当知道之时起</w:t>
      </w:r>
      <w:r>
        <w:rPr>
          <w:rFonts w:ascii="仿宋" w:hAnsi="仿宋" w:eastAsia="仿宋" w:cs="sans-serif"/>
          <w:color w:val="000000" w:themeColor="text1"/>
          <w:sz w:val="32"/>
          <w:szCs w:val="32"/>
          <w:shd w:val="clear" w:color="auto" w:fill="FFFFFF"/>
          <w14:textFill>
            <w14:solidFill>
              <w14:schemeClr w14:val="tx1"/>
            </w14:solidFill>
          </w14:textFill>
        </w:rPr>
        <w:t>24</w:t>
      </w:r>
      <w:r>
        <w:rPr>
          <w:rFonts w:ascii="仿宋" w:hAnsi="仿宋" w:eastAsia="仿宋" w:cs="仿宋_GB2312"/>
          <w:color w:val="000000" w:themeColor="text1"/>
          <w:sz w:val="32"/>
          <w:szCs w:val="32"/>
          <w:shd w:val="clear" w:color="auto" w:fill="FFFFFF"/>
          <w14:textFill>
            <w14:solidFill>
              <w14:schemeClr w14:val="tx1"/>
            </w14:solidFill>
          </w14:textFill>
        </w:rPr>
        <w:t>小时内，</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向所在地县级地方金融监督管理部门报告；县级地方金融监督管理部门应当及时处置，并向本级人民政府和上级地方金融监督管理部门报告：</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（一）引发群体事件；</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（二）重大安全防范突发事件或重大负面舆情；</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（三）非法集资吸储行为；</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（四）法定代表人或</w:t>
      </w:r>
      <w:r>
        <w:rPr>
          <w:rFonts w:ascii="仿宋" w:hAnsi="仿宋" w:eastAsia="仿宋" w:cs="仿宋_GB2312"/>
          <w:color w:val="000000" w:themeColor="text1"/>
          <w:sz w:val="32"/>
          <w:szCs w:val="32"/>
          <w:shd w:val="clear" w:color="auto" w:fill="FFFFFF"/>
          <w14:textFill>
            <w14:solidFill>
              <w14:schemeClr w14:val="tx1"/>
            </w14:solidFill>
          </w14:textFill>
        </w:rPr>
        <w:t>主要负责人下落不明或者接受刑事调查</w:t>
      </w:r>
      <w:r>
        <w:rPr>
          <w:rFonts w:hint="eastAsia" w:ascii="仿宋" w:hAnsi="仿宋" w:eastAsia="仿宋" w:cs="仿宋_GB2312"/>
          <w:color w:val="000000" w:themeColor="text1"/>
          <w:sz w:val="32"/>
          <w:szCs w:val="32"/>
          <w:shd w:val="clear" w:color="auto" w:fill="FFFFFF"/>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（五）主要资产被查封、冻结、扣押；</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（六）企业或主要法人股东被吊销营业执照；</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（七）企业或主要股东涉及重大诉讼案件或仲裁；</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（八）</w:t>
      </w:r>
      <w:r>
        <w:rPr>
          <w:rFonts w:ascii="仿宋" w:hAnsi="仿宋" w:eastAsia="仿宋"/>
          <w:color w:val="000000" w:themeColor="text1"/>
          <w:sz w:val="32"/>
          <w:szCs w:val="20"/>
          <w14:textFill>
            <w14:solidFill>
              <w14:schemeClr w14:val="tx1"/>
            </w14:solidFill>
          </w14:textFill>
        </w:rPr>
        <w:t>其他可能引发重大金融风险的情况</w:t>
      </w:r>
      <w:r>
        <w:rPr>
          <w:rFonts w:hint="eastAsia" w:ascii="仿宋" w:hAnsi="仿宋" w:eastAsia="仿宋"/>
          <w:color w:val="000000" w:themeColor="text1"/>
          <w:sz w:val="32"/>
          <w:szCs w:val="20"/>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第四十五条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典当行注册地县（市、区）人民政府应当承担风险处置和维稳处突的第一责任。典当行的业务活动可能引发或者已经形成金融风险的，注册地县（市、区）人民政府应当根据国家和省有关法律法规履行属地风险处置责任，组织、协调有关部门开展风险处置相关工作。</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第四十六条</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 xml:space="preserve">  典当行的业务活动可能引发金融风险的，地方金融监督管理部门可以采取下列措施：</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（一）向投资者、债权人等利益相关方提示风险；</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（二）向股东会提示相关董事、监事、高级管理人员或者经营管理人员的任职风险；</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（三）法律、法规规定可以采取的其他措施。</w:t>
      </w:r>
    </w:p>
    <w:p>
      <w:pPr>
        <w:autoSpaceDE w:val="0"/>
        <w:autoSpaceDN w:val="0"/>
        <w:adjustRightInd w:val="0"/>
        <w:snapToGrid w:val="0"/>
        <w:spacing w:line="58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典当行的</w:t>
      </w:r>
      <w:r>
        <w:rPr>
          <w:rFonts w:ascii="仿宋" w:hAnsi="仿宋" w:eastAsia="仿宋"/>
          <w:color w:val="000000" w:themeColor="text1"/>
          <w:kern w:val="0"/>
          <w:sz w:val="32"/>
          <w:szCs w:val="32"/>
          <w14:textFill>
            <w14:solidFill>
              <w14:schemeClr w14:val="tx1"/>
            </w14:solidFill>
          </w14:textFill>
        </w:rPr>
        <w:t>业务活动已经形成重大金融、社会稳定风险，经注册地地方金融监督管理部门申请，市级地方金融</w:t>
      </w:r>
      <w:r>
        <w:rPr>
          <w:rFonts w:hint="eastAsia" w:ascii="仿宋" w:hAnsi="仿宋" w:eastAsia="仿宋"/>
          <w:color w:val="000000" w:themeColor="text1"/>
          <w:kern w:val="0"/>
          <w:sz w:val="32"/>
          <w:szCs w:val="32"/>
          <w14:textFill>
            <w14:solidFill>
              <w14:schemeClr w14:val="tx1"/>
            </w14:solidFill>
          </w14:textFill>
        </w:rPr>
        <w:t>监督管理</w:t>
      </w:r>
      <w:r>
        <w:rPr>
          <w:rFonts w:ascii="仿宋" w:hAnsi="仿宋" w:eastAsia="仿宋"/>
          <w:color w:val="000000" w:themeColor="text1"/>
          <w:kern w:val="0"/>
          <w:sz w:val="32"/>
          <w:szCs w:val="32"/>
          <w14:textFill>
            <w14:solidFill>
              <w14:schemeClr w14:val="tx1"/>
            </w14:solidFill>
          </w14:textFill>
        </w:rPr>
        <w:t>部门负责人批准，可以采取限制经营活动、责令停止增设分支机构、暂停登记事项变更等控制风险扩大的措施，并报省地方金融监督管理局备案。</w:t>
      </w:r>
    </w:p>
    <w:p>
      <w:pPr>
        <w:autoSpaceDE w:val="0"/>
        <w:autoSpaceDN w:val="0"/>
        <w:adjustRightInd w:val="0"/>
        <w:snapToGrid w:val="0"/>
        <w:spacing w:line="58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ascii="仿宋" w:hAnsi="仿宋" w:eastAsia="仿宋"/>
          <w:color w:val="000000" w:themeColor="text1"/>
          <w:kern w:val="0"/>
          <w:sz w:val="32"/>
          <w:szCs w:val="32"/>
          <w14:textFill>
            <w14:solidFill>
              <w14:schemeClr w14:val="tx1"/>
            </w14:solidFill>
          </w14:textFill>
        </w:rPr>
        <w:t>采取前款规定的措施仍不能控制风险扩大、可能严重影响区域金融稳定的，经注册地市级人民政府批准，市级地方金融</w:t>
      </w:r>
      <w:r>
        <w:rPr>
          <w:rFonts w:hint="eastAsia" w:ascii="仿宋" w:hAnsi="仿宋" w:eastAsia="仿宋"/>
          <w:color w:val="000000" w:themeColor="text1"/>
          <w:kern w:val="0"/>
          <w:sz w:val="32"/>
          <w:szCs w:val="32"/>
          <w14:textFill>
            <w14:solidFill>
              <w14:schemeClr w14:val="tx1"/>
            </w14:solidFill>
          </w14:textFill>
        </w:rPr>
        <w:t>监督管理</w:t>
      </w:r>
      <w:r>
        <w:rPr>
          <w:rFonts w:ascii="仿宋" w:hAnsi="仿宋" w:eastAsia="仿宋"/>
          <w:color w:val="000000" w:themeColor="text1"/>
          <w:kern w:val="0"/>
          <w:sz w:val="32"/>
          <w:szCs w:val="32"/>
          <w14:textFill>
            <w14:solidFill>
              <w14:schemeClr w14:val="tx1"/>
            </w14:solidFill>
          </w14:textFill>
        </w:rPr>
        <w:t>部门可以对该</w:t>
      </w: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依法采取接管、安排其他</w:t>
      </w: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实施业务托管或者促成重组等措施，并联合有关部门开展风险处置。</w:t>
      </w:r>
    </w:p>
    <w:p>
      <w:pPr>
        <w:autoSpaceDE w:val="0"/>
        <w:autoSpaceDN w:val="0"/>
        <w:adjustRightInd w:val="0"/>
        <w:snapToGrid w:val="0"/>
        <w:spacing w:line="580" w:lineRule="exact"/>
        <w:ind w:firstLine="640" w:firstLineChars="200"/>
        <w:rPr>
          <w:rFonts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的重大风险隐患已经消除并具备正常经营能力、可以继续从事地方金融业务活动的，注册地市级地方金融</w:t>
      </w:r>
      <w:r>
        <w:rPr>
          <w:rFonts w:hint="eastAsia" w:ascii="仿宋" w:hAnsi="仿宋" w:eastAsia="仿宋"/>
          <w:color w:val="000000" w:themeColor="text1"/>
          <w:kern w:val="0"/>
          <w:sz w:val="32"/>
          <w:szCs w:val="32"/>
          <w14:textFill>
            <w14:solidFill>
              <w14:schemeClr w14:val="tx1"/>
            </w14:solidFill>
          </w14:textFill>
        </w:rPr>
        <w:t>监督管理</w:t>
      </w:r>
      <w:r>
        <w:rPr>
          <w:rFonts w:ascii="仿宋" w:hAnsi="仿宋" w:eastAsia="仿宋"/>
          <w:color w:val="000000" w:themeColor="text1"/>
          <w:kern w:val="0"/>
          <w:sz w:val="32"/>
          <w:szCs w:val="32"/>
          <w14:textFill>
            <w14:solidFill>
              <w14:schemeClr w14:val="tx1"/>
            </w14:solidFill>
          </w14:textFill>
        </w:rPr>
        <w:t>部门应报请同级人民政府及时解除相关处置措施。</w:t>
      </w:r>
    </w:p>
    <w:p>
      <w:pPr>
        <w:pStyle w:val="5"/>
        <w:widowControl/>
        <w:shd w:val="clear" w:color="auto" w:fill="FFFFFF"/>
        <w:adjustRightInd w:val="0"/>
        <w:snapToGrid w:val="0"/>
        <w:spacing w:before="0" w:beforeAutospacing="0" w:after="0" w:afterAutospacing="0" w:line="580" w:lineRule="exact"/>
        <w:ind w:firstLine="3195"/>
        <w:jc w:val="both"/>
        <w:rPr>
          <w:rFonts w:ascii="黑体" w:hAnsi="宋体" w:eastAsia="黑体" w:cs="黑体"/>
          <w:color w:val="000000" w:themeColor="text1"/>
          <w:sz w:val="32"/>
          <w:szCs w:val="32"/>
          <w:shd w:val="clear" w:color="auto" w:fill="FFFFFF"/>
          <w14:textFill>
            <w14:solidFill>
              <w14:schemeClr w14:val="tx1"/>
            </w14:solidFill>
          </w14:textFill>
        </w:rPr>
      </w:pPr>
    </w:p>
    <w:p>
      <w:pPr>
        <w:pStyle w:val="5"/>
        <w:widowControl/>
        <w:shd w:val="clear" w:color="auto" w:fill="FFFFFF"/>
        <w:adjustRightInd w:val="0"/>
        <w:snapToGrid w:val="0"/>
        <w:spacing w:before="0" w:beforeAutospacing="0" w:after="0" w:afterAutospacing="0" w:line="580" w:lineRule="exact"/>
        <w:ind w:firstLine="3195"/>
        <w:jc w:val="both"/>
        <w:rPr>
          <w:rFonts w:ascii="黑体" w:hAnsi="宋体" w:eastAsia="黑体" w:cs="黑体"/>
          <w:color w:val="000000" w:themeColor="text1"/>
          <w:sz w:val="32"/>
          <w:szCs w:val="32"/>
          <w:shd w:val="clear" w:color="auto" w:fill="FFFFFF"/>
          <w14:textFill>
            <w14:solidFill>
              <w14:schemeClr w14:val="tx1"/>
            </w14:solidFill>
          </w14:textFill>
        </w:rPr>
      </w:pPr>
    </w:p>
    <w:p>
      <w:pPr>
        <w:pStyle w:val="5"/>
        <w:widowControl/>
        <w:shd w:val="clear" w:color="auto" w:fill="FFFFFF"/>
        <w:adjustRightInd w:val="0"/>
        <w:snapToGrid w:val="0"/>
        <w:spacing w:before="0" w:beforeAutospacing="0" w:after="0" w:afterAutospacing="0" w:line="580" w:lineRule="exact"/>
        <w:ind w:firstLine="3195"/>
        <w:jc w:val="both"/>
        <w:rPr>
          <w:rFonts w:ascii="sans-serif" w:hAnsi="sans-serif" w:eastAsia="sans-serif" w:cs="sans-serif"/>
          <w:color w:val="000000" w:themeColor="text1"/>
          <w:sz w:val="32"/>
          <w:szCs w:val="32"/>
          <w14:textFill>
            <w14:solidFill>
              <w14:schemeClr w14:val="tx1"/>
            </w14:solidFill>
          </w14:textFill>
        </w:rPr>
      </w:pPr>
      <w:r>
        <w:rPr>
          <w:rFonts w:ascii="黑体" w:hAnsi="宋体" w:eastAsia="黑体" w:cs="黑体"/>
          <w:color w:val="000000" w:themeColor="text1"/>
          <w:sz w:val="32"/>
          <w:szCs w:val="32"/>
          <w:shd w:val="clear" w:color="auto" w:fill="FFFFFF"/>
          <w14:textFill>
            <w14:solidFill>
              <w14:schemeClr w14:val="tx1"/>
            </w14:solidFill>
          </w14:textFill>
        </w:rPr>
        <w:t>第</w:t>
      </w:r>
      <w:r>
        <w:rPr>
          <w:rFonts w:hint="eastAsia" w:ascii="黑体" w:hAnsi="宋体" w:eastAsia="黑体" w:cs="黑体"/>
          <w:color w:val="000000" w:themeColor="text1"/>
          <w:sz w:val="32"/>
          <w:szCs w:val="32"/>
          <w:shd w:val="clear" w:color="auto" w:fill="FFFFFF"/>
          <w14:textFill>
            <w14:solidFill>
              <w14:schemeClr w14:val="tx1"/>
            </w14:solidFill>
          </w14:textFill>
        </w:rPr>
        <w:t>六</w:t>
      </w:r>
      <w:r>
        <w:rPr>
          <w:rFonts w:ascii="黑体" w:hAnsi="宋体" w:eastAsia="黑体" w:cs="黑体"/>
          <w:color w:val="000000" w:themeColor="text1"/>
          <w:sz w:val="32"/>
          <w:szCs w:val="32"/>
          <w:shd w:val="clear" w:color="auto" w:fill="FFFFFF"/>
          <w14:textFill>
            <w14:solidFill>
              <w14:schemeClr w14:val="tx1"/>
            </w14:solidFill>
          </w14:textFill>
        </w:rPr>
        <w:t>章</w:t>
      </w:r>
      <w:r>
        <w:rPr>
          <w:rFonts w:ascii="sans-serif" w:hAnsi="sans-serif" w:eastAsia="sans-serif" w:cs="sans-serif"/>
          <w:color w:val="000000" w:themeColor="text1"/>
          <w:sz w:val="32"/>
          <w:szCs w:val="32"/>
          <w:shd w:val="clear" w:color="auto" w:fill="FFFFFF"/>
          <w14:textFill>
            <w14:solidFill>
              <w14:schemeClr w14:val="tx1"/>
            </w14:solidFill>
          </w14:textFill>
        </w:rPr>
        <w:t>  </w:t>
      </w:r>
      <w:r>
        <w:rPr>
          <w:rFonts w:ascii="黑体" w:hAnsi="宋体" w:eastAsia="黑体" w:cs="黑体"/>
          <w:color w:val="000000" w:themeColor="text1"/>
          <w:sz w:val="32"/>
          <w:szCs w:val="32"/>
          <w:shd w:val="clear" w:color="auto" w:fill="FFFFFF"/>
          <w14:textFill>
            <w14:solidFill>
              <w14:schemeClr w14:val="tx1"/>
            </w14:solidFill>
          </w14:textFill>
        </w:rPr>
        <w:t>法律责任</w:t>
      </w:r>
    </w:p>
    <w:p>
      <w:pPr>
        <w:pStyle w:val="5"/>
        <w:widowControl/>
        <w:shd w:val="clear" w:color="auto" w:fill="FFFFFF"/>
        <w:adjustRightInd w:val="0"/>
        <w:snapToGrid w:val="0"/>
        <w:spacing w:before="0" w:beforeAutospacing="0" w:after="0" w:afterAutospacing="0" w:line="580" w:lineRule="exact"/>
        <w:ind w:firstLine="630"/>
        <w:jc w:val="both"/>
        <w:rPr>
          <w:rStyle w:val="7"/>
          <w:rFonts w:ascii="sans-serif" w:hAnsi="sans-serif" w:eastAsia="sans-serif" w:cs="sans-serif"/>
          <w:color w:val="000000" w:themeColor="text1"/>
          <w:sz w:val="32"/>
          <w:szCs w:val="32"/>
          <w:shd w:val="clear" w:color="auto" w:fill="FFFFFF"/>
          <w14:textFill>
            <w14:solidFill>
              <w14:schemeClr w14:val="tx1"/>
            </w14:solidFill>
          </w14:textFill>
        </w:rPr>
      </w:pPr>
      <w:r>
        <w:rPr>
          <w:rStyle w:val="7"/>
          <w:rFonts w:ascii="sans-serif" w:hAnsi="sans-serif" w:eastAsia="sans-serif" w:cs="sans-serif"/>
          <w:color w:val="000000" w:themeColor="text1"/>
          <w:sz w:val="32"/>
          <w:szCs w:val="32"/>
          <w:shd w:val="clear" w:color="auto" w:fill="FFFFFF"/>
          <w14:textFill>
            <w14:solidFill>
              <w14:schemeClr w14:val="tx1"/>
            </w14:solidFill>
          </w14:textFill>
        </w:rPr>
        <w:t> </w:t>
      </w:r>
    </w:p>
    <w:p>
      <w:pPr>
        <w:pStyle w:val="5"/>
        <w:widowControl/>
        <w:shd w:val="clear" w:color="auto" w:fill="FFFFFF"/>
        <w:adjustRightInd w:val="0"/>
        <w:snapToGrid w:val="0"/>
        <w:spacing w:before="0" w:beforeAutospacing="0" w:after="0" w:afterAutospacing="0" w:line="580" w:lineRule="exact"/>
        <w:ind w:firstLine="630"/>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四十七</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各级地方金融监督管理部门依法做好本行政区域内</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典当行</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及其活动的监督管理和行政处罚。市、县级地方金融监督管理部门依职权管辖本行政区域内发生的案件。</w:t>
      </w:r>
    </w:p>
    <w:p>
      <w:pPr>
        <w:pStyle w:val="5"/>
        <w:widowControl/>
        <w:shd w:val="clear" w:color="auto" w:fill="FFFFFF"/>
        <w:adjustRightInd w:val="0"/>
        <w:snapToGrid w:val="0"/>
        <w:spacing w:before="0" w:beforeAutospacing="0" w:after="0" w:afterAutospacing="0" w:line="580" w:lineRule="exact"/>
        <w:ind w:firstLine="630"/>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市、县级地方金融监督管理部门可以实施警告、责令限期改正、罚款、没收违法所得、没收非法财物</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以及</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行政法规</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和规章</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规定的其他行政处罚，并自实施行政处罚10个工作日内将情况报至省地方金融监督管理局。</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注销典当经营资格</w:t>
      </w:r>
      <w:r>
        <w:rPr>
          <w:rStyle w:val="7"/>
          <w:rFonts w:ascii="仿宋" w:hAnsi="仿宋" w:eastAsia="仿宋" w:cs="仿宋_GB2312"/>
          <w:b w:val="0"/>
          <w:bCs/>
          <w:color w:val="000000" w:themeColor="text1"/>
          <w:sz w:val="32"/>
          <w:szCs w:val="32"/>
          <w:shd w:val="clear" w:color="auto" w:fill="FFFFFF"/>
          <w14:textFill>
            <w14:solidFill>
              <w14:schemeClr w14:val="tx1"/>
            </w14:solidFill>
          </w14:textFill>
        </w:rPr>
        <w:t>由省地方金融监督管理局实施。</w:t>
      </w:r>
    </w:p>
    <w:p>
      <w:pPr>
        <w:pStyle w:val="5"/>
        <w:widowControl/>
        <w:shd w:val="clear" w:color="auto" w:fill="FFFFFF"/>
        <w:adjustRightInd w:val="0"/>
        <w:snapToGrid w:val="0"/>
        <w:spacing w:before="0" w:beforeAutospacing="0" w:after="0" w:afterAutospacing="0" w:line="580" w:lineRule="exact"/>
        <w:ind w:firstLine="645"/>
        <w:jc w:val="both"/>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四十八</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典当行违反《湖北省地方金融条例》《典当管理办法》和本细则第七条、第十二条、第十三条、第十七条、第十八条、第十九条、第二十条、第二十四条、第二十六条、第二十八条、第三十二条、第三十四条的规定，存在未经批准擅自设立典当行，或者从事、变相从事典当业务；未按规定办理备案、审批的；超出核准业务范围从事禁止从事的业务；违反相关经营规则；未按要求报送经营数据或风险情况；拒绝、妨碍监管工作等违法违规行为的，由各级地方金融监督管理部门依照监管权限按《湖北省地方金融条例》第四十八至第五十一条规定以及《典当管理办法》相应条款对典当行及其负有直接责任的董事、监事、高级管理人员以及其他直接责任人员予以相应行政处罚。</w:t>
      </w:r>
    </w:p>
    <w:p>
      <w:pPr>
        <w:widowControl/>
        <w:autoSpaceDE w:val="0"/>
        <w:autoSpaceDN w:val="0"/>
        <w:adjustRightInd w:val="0"/>
        <w:snapToGrid w:val="0"/>
        <w:spacing w:line="600" w:lineRule="exact"/>
        <w:ind w:firstLine="624"/>
        <w:rPr>
          <w:rStyle w:val="7"/>
          <w:rFonts w:ascii="仿宋" w:hAnsi="仿宋" w:eastAsia="仿宋" w:cs="仿宋_GB2312"/>
          <w:b w:val="0"/>
          <w:bCs/>
          <w:color w:val="000000" w:themeColor="text1"/>
          <w:sz w:val="32"/>
          <w:szCs w:val="32"/>
          <w:shd w:val="clear" w:color="auto" w:fill="FFFFFF"/>
          <w14:textFill>
            <w14:solidFill>
              <w14:schemeClr w14:val="tx1"/>
            </w14:solidFill>
          </w14:textFill>
        </w:rPr>
      </w:pPr>
      <w:r>
        <w:rPr>
          <w:rFonts w:hint="eastAsia" w:ascii="仿宋" w:hAnsi="仿宋" w:eastAsia="仿宋" w:cs="方正仿宋_GBK"/>
          <w:b/>
          <w:bCs/>
          <w:color w:val="000000" w:themeColor="text1"/>
          <w:kern w:val="0"/>
          <w:sz w:val="32"/>
          <w:szCs w:val="20"/>
          <w14:textFill>
            <w14:solidFill>
              <w14:schemeClr w14:val="tx1"/>
            </w14:solidFill>
          </w14:textFill>
        </w:rPr>
        <w:t>第四十九条</w:t>
      </w:r>
      <w:r>
        <w:rPr>
          <w:rFonts w:ascii="仿宋" w:hAnsi="仿宋" w:eastAsia="仿宋"/>
          <w:color w:val="000000" w:themeColor="text1"/>
          <w:kern w:val="0"/>
          <w:sz w:val="32"/>
          <w:szCs w:val="20"/>
          <w14:textFill>
            <w14:solidFill>
              <w14:schemeClr w14:val="tx1"/>
            </w14:solidFill>
          </w14:textFill>
        </w:rPr>
        <w:t xml:space="preserve">  </w:t>
      </w:r>
      <w:r>
        <w:rPr>
          <w:rFonts w:hint="eastAsia" w:ascii="仿宋" w:hAnsi="仿宋" w:eastAsia="仿宋"/>
          <w:color w:val="000000" w:themeColor="text1"/>
          <w:kern w:val="0"/>
          <w:sz w:val="32"/>
          <w:szCs w:val="32"/>
          <w14:textFill>
            <w14:solidFill>
              <w14:schemeClr w14:val="tx1"/>
            </w14:solidFill>
          </w14:textFill>
        </w:rPr>
        <w:t>典当行</w:t>
      </w:r>
      <w:r>
        <w:rPr>
          <w:rFonts w:ascii="仿宋" w:hAnsi="仿宋" w:eastAsia="仿宋"/>
          <w:color w:val="000000" w:themeColor="text1"/>
          <w:kern w:val="0"/>
          <w:sz w:val="32"/>
          <w:szCs w:val="32"/>
          <w14:textFill>
            <w14:solidFill>
              <w14:schemeClr w14:val="tx1"/>
            </w14:solidFill>
          </w14:textFill>
        </w:rPr>
        <w:t>发生吸收或变相吸收公众存款等严重违法违规行为，由县级以上地方人民政府指定的</w:t>
      </w:r>
      <w:r>
        <w:rPr>
          <w:rFonts w:ascii="仿宋" w:hAnsi="仿宋" w:eastAsia="仿宋"/>
          <w:color w:val="000000" w:themeColor="text1"/>
          <w:kern w:val="0"/>
          <w:sz w:val="32"/>
          <w:szCs w:val="32"/>
          <w:shd w:val="clear" w:color="auto" w:fill="FFFFFF"/>
          <w:lang w:bidi="ar"/>
          <w14:textFill>
            <w14:solidFill>
              <w14:schemeClr w14:val="tx1"/>
            </w14:solidFill>
          </w14:textFill>
        </w:rPr>
        <w:t>处置非法集资牵头部门</w:t>
      </w:r>
      <w:r>
        <w:rPr>
          <w:rFonts w:ascii="仿宋" w:hAnsi="仿宋" w:eastAsia="仿宋"/>
          <w:color w:val="000000" w:themeColor="text1"/>
          <w:kern w:val="0"/>
          <w:sz w:val="32"/>
          <w:szCs w:val="32"/>
          <w14:textFill>
            <w14:solidFill>
              <w14:schemeClr w14:val="tx1"/>
            </w14:solidFill>
          </w14:textFill>
        </w:rPr>
        <w:t>根据《防范和处置非法集资条例》及相关规定进行查处。一经查实，由注册地地方金融监管部门提出申请，</w:t>
      </w:r>
      <w:r>
        <w:rPr>
          <w:rFonts w:hint="eastAsia" w:ascii="仿宋" w:hAnsi="仿宋" w:eastAsia="仿宋"/>
          <w:color w:val="000000" w:themeColor="text1"/>
          <w:kern w:val="0"/>
          <w:sz w:val="32"/>
          <w:szCs w:val="32"/>
          <w14:textFill>
            <w14:solidFill>
              <w14:schemeClr w14:val="tx1"/>
            </w14:solidFill>
          </w14:textFill>
        </w:rPr>
        <w:t>逐级上</w:t>
      </w:r>
      <w:r>
        <w:rPr>
          <w:rFonts w:ascii="仿宋" w:hAnsi="仿宋" w:eastAsia="仿宋"/>
          <w:color w:val="000000" w:themeColor="text1"/>
          <w:kern w:val="0"/>
          <w:sz w:val="32"/>
          <w:szCs w:val="32"/>
          <w14:textFill>
            <w14:solidFill>
              <w14:schemeClr w14:val="tx1"/>
            </w14:solidFill>
          </w14:textFill>
        </w:rPr>
        <w:t>报省地方金融监督管理局注销</w:t>
      </w:r>
      <w:r>
        <w:rPr>
          <w:rFonts w:hint="eastAsia" w:ascii="仿宋" w:hAnsi="仿宋" w:eastAsia="仿宋"/>
          <w:color w:val="000000" w:themeColor="text1"/>
          <w:kern w:val="0"/>
          <w:sz w:val="32"/>
          <w:szCs w:val="32"/>
          <w14:textFill>
            <w14:solidFill>
              <w14:schemeClr w14:val="tx1"/>
            </w14:solidFill>
          </w14:textFill>
        </w:rPr>
        <w:t>《许可证》</w:t>
      </w:r>
      <w:r>
        <w:rPr>
          <w:rFonts w:ascii="仿宋" w:hAnsi="仿宋" w:eastAsia="仿宋"/>
          <w:color w:val="000000" w:themeColor="text1"/>
          <w:kern w:val="0"/>
          <w:sz w:val="32"/>
          <w:szCs w:val="32"/>
          <w14:textFill>
            <w14:solidFill>
              <w14:schemeClr w14:val="tx1"/>
            </w14:solidFill>
          </w14:textFill>
        </w:rPr>
        <w:t>。</w:t>
      </w:r>
    </w:p>
    <w:p>
      <w:pPr>
        <w:pStyle w:val="5"/>
        <w:widowControl/>
        <w:shd w:val="clear" w:color="auto" w:fill="FFFFFF"/>
        <w:adjustRightInd w:val="0"/>
        <w:snapToGrid w:val="0"/>
        <w:spacing w:before="0" w:beforeAutospacing="0" w:after="0" w:afterAutospacing="0" w:line="580" w:lineRule="exact"/>
        <w:ind w:firstLine="645"/>
        <w:jc w:val="both"/>
        <w:rPr>
          <w:rFonts w:ascii="仿宋" w:hAnsi="仿宋" w:eastAsia="仿宋" w:cs="sans-serif"/>
          <w:color w:val="000000" w:themeColor="text1"/>
          <w:sz w:val="32"/>
          <w:szCs w:val="32"/>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五</w:t>
      </w:r>
      <w:r>
        <w:rPr>
          <w:rStyle w:val="7"/>
          <w:rFonts w:ascii="仿宋" w:hAnsi="仿宋" w:eastAsia="仿宋" w:cs="仿宋_GB2312"/>
          <w:color w:val="000000" w:themeColor="text1"/>
          <w:sz w:val="32"/>
          <w:szCs w:val="32"/>
          <w:shd w:val="clear" w:color="auto" w:fill="FFFFFF"/>
          <w14:textFill>
            <w14:solidFill>
              <w14:schemeClr w14:val="tx1"/>
            </w14:solidFill>
          </w14:textFill>
        </w:rPr>
        <w:t>十条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_GB2312"/>
          <w:b w:val="0"/>
          <w:bCs/>
          <w:color w:val="000000" w:themeColor="text1"/>
          <w:sz w:val="32"/>
          <w:szCs w:val="32"/>
          <w:shd w:val="clear" w:color="auto" w:fill="FFFFFF"/>
          <w14:textFill>
            <w14:solidFill>
              <w14:schemeClr w14:val="tx1"/>
            </w14:solidFill>
          </w14:textFill>
        </w:rPr>
        <w:t>各级</w:t>
      </w:r>
      <w:r>
        <w:rPr>
          <w:rFonts w:ascii="仿宋" w:hAnsi="仿宋" w:eastAsia="仿宋" w:cs="仿宋_GB2312"/>
          <w:color w:val="000000" w:themeColor="text1"/>
          <w:sz w:val="32"/>
          <w:szCs w:val="32"/>
          <w:shd w:val="clear" w:color="auto" w:fill="FFFFFF"/>
          <w14:textFill>
            <w14:solidFill>
              <w14:schemeClr w14:val="tx1"/>
            </w14:solidFill>
          </w14:textFill>
        </w:rPr>
        <w:t>地方金融管理部门在依法履行职责过程中，发现典当行涉嫌违反法律法规和有关监管规定，可以采取监管谈话、出具警示函、责令改正、通报批评、将其违法违规和不履行公开承诺等情况记入诚信档案并对外公布等监管措施，以及给予警告、罚款和依法可以采取的其他处罚措施；涉嫌犯罪的，移送公安机关查处。</w:t>
      </w:r>
    </w:p>
    <w:p>
      <w:pPr>
        <w:pStyle w:val="5"/>
        <w:widowControl/>
        <w:shd w:val="clear" w:color="auto" w:fill="FFFFFF"/>
        <w:adjustRightInd w:val="0"/>
        <w:snapToGrid w:val="0"/>
        <w:spacing w:before="0" w:beforeAutospacing="0" w:after="0" w:afterAutospacing="0" w:line="580" w:lineRule="exact"/>
        <w:ind w:firstLine="3195"/>
        <w:jc w:val="both"/>
        <w:rPr>
          <w:rFonts w:ascii="sans-serif" w:hAnsi="sans-serif" w:eastAsia="sans-serif" w:cs="sans-serif"/>
          <w:color w:val="000000" w:themeColor="text1"/>
          <w:sz w:val="32"/>
          <w:szCs w:val="32"/>
          <w14:textFill>
            <w14:solidFill>
              <w14:schemeClr w14:val="tx1"/>
            </w14:solidFill>
          </w14:textFill>
        </w:rPr>
      </w:pPr>
      <w:r>
        <w:rPr>
          <w:rFonts w:ascii="sans-serif" w:hAnsi="sans-serif" w:eastAsia="sans-serif" w:cs="sans-serif"/>
          <w:color w:val="000000" w:themeColor="text1"/>
          <w:sz w:val="32"/>
          <w:szCs w:val="32"/>
          <w:shd w:val="clear" w:color="auto" w:fill="FFFFFF"/>
          <w14:textFill>
            <w14:solidFill>
              <w14:schemeClr w14:val="tx1"/>
            </w14:solidFill>
          </w14:textFill>
        </w:rPr>
        <w:t> </w:t>
      </w:r>
    </w:p>
    <w:p>
      <w:pPr>
        <w:pStyle w:val="5"/>
        <w:widowControl/>
        <w:shd w:val="clear" w:color="auto" w:fill="FFFFFF"/>
        <w:adjustRightInd w:val="0"/>
        <w:snapToGrid w:val="0"/>
        <w:spacing w:before="0" w:beforeAutospacing="0" w:after="0" w:afterAutospacing="0" w:line="580" w:lineRule="exact"/>
        <w:ind w:firstLine="3195"/>
        <w:jc w:val="both"/>
        <w:rPr>
          <w:rFonts w:ascii="sans-serif" w:hAnsi="sans-serif" w:eastAsia="sans-serif" w:cs="sans-serif"/>
          <w:color w:val="000000" w:themeColor="text1"/>
          <w:sz w:val="32"/>
          <w:szCs w:val="32"/>
          <w14:textFill>
            <w14:solidFill>
              <w14:schemeClr w14:val="tx1"/>
            </w14:solidFill>
          </w14:textFill>
        </w:rPr>
      </w:pPr>
      <w:r>
        <w:rPr>
          <w:rFonts w:hint="eastAsia" w:ascii="黑体" w:hAnsi="宋体" w:eastAsia="黑体" w:cs="黑体"/>
          <w:color w:val="000000" w:themeColor="text1"/>
          <w:sz w:val="32"/>
          <w:szCs w:val="32"/>
          <w:shd w:val="clear" w:color="auto" w:fill="FFFFFF"/>
          <w14:textFill>
            <w14:solidFill>
              <w14:schemeClr w14:val="tx1"/>
            </w14:solidFill>
          </w14:textFill>
        </w:rPr>
        <w:t xml:space="preserve">第七章 </w:t>
      </w:r>
      <w:r>
        <w:rPr>
          <w:rFonts w:ascii="黑体" w:hAnsi="宋体" w:eastAsia="黑体" w:cs="黑体"/>
          <w:color w:val="000000" w:themeColor="text1"/>
          <w:sz w:val="32"/>
          <w:szCs w:val="32"/>
          <w:shd w:val="clear" w:color="auto" w:fill="FFFFFF"/>
          <w14:textFill>
            <w14:solidFill>
              <w14:schemeClr w14:val="tx1"/>
            </w14:solidFill>
          </w14:textFill>
        </w:rPr>
        <w:t>附 则 </w:t>
      </w:r>
      <w:r>
        <w:rPr>
          <w:rFonts w:ascii="sans-serif" w:hAnsi="sans-serif" w:eastAsia="sans-serif" w:cs="sans-serif"/>
          <w:color w:val="000000" w:themeColor="text1"/>
          <w:sz w:val="32"/>
          <w:szCs w:val="32"/>
          <w:shd w:val="clear" w:color="auto" w:fill="FFFFFF"/>
          <w14:textFill>
            <w14:solidFill>
              <w14:schemeClr w14:val="tx1"/>
            </w14:solidFill>
          </w14:textFill>
        </w:rPr>
        <w:t>  </w:t>
      </w:r>
    </w:p>
    <w:p>
      <w:pPr>
        <w:pStyle w:val="5"/>
        <w:widowControl/>
        <w:shd w:val="clear" w:color="auto" w:fill="FFFFFF"/>
        <w:adjustRightInd w:val="0"/>
        <w:snapToGrid w:val="0"/>
        <w:spacing w:before="0" w:beforeAutospacing="0" w:after="0" w:afterAutospacing="0" w:line="580" w:lineRule="exact"/>
        <w:jc w:val="both"/>
        <w:rPr>
          <w:rFonts w:ascii="sans-serif" w:hAnsi="sans-serif" w:eastAsia="sans-serif" w:cs="sans-serif"/>
          <w:color w:val="000000" w:themeColor="text1"/>
          <w:sz w:val="32"/>
          <w:szCs w:val="32"/>
          <w14:textFill>
            <w14:solidFill>
              <w14:schemeClr w14:val="tx1"/>
            </w14:solidFill>
          </w14:textFill>
        </w:rPr>
      </w:pPr>
      <w:r>
        <w:rPr>
          <w:rFonts w:ascii="sans-serif" w:hAnsi="sans-serif" w:eastAsia="sans-serif" w:cs="sans-serif"/>
          <w:color w:val="000000" w:themeColor="text1"/>
          <w:sz w:val="32"/>
          <w:szCs w:val="32"/>
          <w:shd w:val="clear" w:color="auto" w:fill="FFFFFF"/>
          <w14:textFill>
            <w14:solidFill>
              <w14:schemeClr w14:val="tx1"/>
            </w14:solidFill>
          </w14:textFill>
        </w:rPr>
        <w:t> </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 w:hAnsi="仿宋" w:eastAsia="仿宋" w:cs="sans-serif"/>
          <w:color w:val="000000" w:themeColor="text1"/>
          <w:sz w:val="32"/>
          <w:szCs w:val="32"/>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五十一</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本</w:t>
      </w:r>
      <w:r>
        <w:rPr>
          <w:rFonts w:hint="eastAsia" w:ascii="仿宋" w:hAnsi="仿宋" w:eastAsia="仿宋" w:cs="仿宋_GB2312"/>
          <w:color w:val="000000" w:themeColor="text1"/>
          <w:sz w:val="32"/>
          <w:szCs w:val="32"/>
          <w:shd w:val="clear" w:color="auto" w:fill="FFFFFF"/>
          <w14:textFill>
            <w14:solidFill>
              <w14:schemeClr w14:val="tx1"/>
            </w14:solidFill>
          </w14:textFill>
        </w:rPr>
        <w:t>细则</w:t>
      </w:r>
      <w:r>
        <w:rPr>
          <w:rFonts w:ascii="仿宋" w:hAnsi="仿宋" w:eastAsia="仿宋" w:cs="仿宋_GB2312"/>
          <w:color w:val="000000" w:themeColor="text1"/>
          <w:sz w:val="32"/>
          <w:szCs w:val="32"/>
          <w:shd w:val="clear" w:color="auto" w:fill="FFFFFF"/>
          <w14:textFill>
            <w14:solidFill>
              <w14:schemeClr w14:val="tx1"/>
            </w14:solidFill>
          </w14:textFill>
        </w:rPr>
        <w:t>由</w:t>
      </w:r>
      <w:r>
        <w:rPr>
          <w:rFonts w:hint="eastAsia" w:ascii="仿宋" w:hAnsi="仿宋" w:eastAsia="仿宋" w:cs="仿宋_GB2312"/>
          <w:color w:val="000000" w:themeColor="text1"/>
          <w:sz w:val="32"/>
          <w:szCs w:val="32"/>
          <w:shd w:val="clear" w:color="auto" w:fill="FFFFFF"/>
          <w14:textFill>
            <w14:solidFill>
              <w14:schemeClr w14:val="tx1"/>
            </w14:solidFill>
          </w14:textFill>
        </w:rPr>
        <w:t>湖北省</w:t>
      </w:r>
      <w:r>
        <w:rPr>
          <w:rFonts w:ascii="仿宋" w:hAnsi="仿宋" w:eastAsia="仿宋" w:cs="仿宋_GB2312"/>
          <w:color w:val="000000" w:themeColor="text1"/>
          <w:sz w:val="32"/>
          <w:szCs w:val="32"/>
          <w:shd w:val="clear" w:color="auto" w:fill="FFFFFF"/>
          <w14:textFill>
            <w14:solidFill>
              <w14:schemeClr w14:val="tx1"/>
            </w14:solidFill>
          </w14:textFill>
        </w:rPr>
        <w:t>地方金融监督管理局负责解释。</w:t>
      </w:r>
    </w:p>
    <w:p>
      <w:pPr>
        <w:pStyle w:val="5"/>
        <w:widowControl/>
        <w:shd w:val="clear" w:color="auto" w:fill="FFFFFF"/>
        <w:adjustRightInd w:val="0"/>
        <w:snapToGrid w:val="0"/>
        <w:spacing w:before="0" w:beforeAutospacing="0" w:after="0" w:afterAutospacing="0" w:line="580" w:lineRule="exact"/>
        <w:ind w:firstLine="643" w:firstLineChars="200"/>
        <w:jc w:val="both"/>
        <w:rPr>
          <w:rFonts w:ascii="仿宋" w:hAnsi="仿宋" w:eastAsia="仿宋" w:cs="sans-serif"/>
          <w:color w:val="000000" w:themeColor="text1"/>
          <w:sz w:val="32"/>
          <w:szCs w:val="32"/>
          <w14:textFill>
            <w14:solidFill>
              <w14:schemeClr w14:val="tx1"/>
            </w14:solidFill>
          </w14:textFill>
        </w:rPr>
      </w:pPr>
      <w:r>
        <w:rPr>
          <w:rStyle w:val="7"/>
          <w:rFonts w:ascii="仿宋" w:hAnsi="仿宋" w:eastAsia="仿宋" w:cs="仿宋_GB2312"/>
          <w:color w:val="000000" w:themeColor="text1"/>
          <w:sz w:val="32"/>
          <w:szCs w:val="32"/>
          <w:shd w:val="clear" w:color="auto" w:fill="FFFFFF"/>
          <w14:textFill>
            <w14:solidFill>
              <w14:schemeClr w14:val="tx1"/>
            </w14:solidFill>
          </w14:textFill>
        </w:rPr>
        <w:t>第</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五十二</w:t>
      </w:r>
      <w:r>
        <w:rPr>
          <w:rStyle w:val="7"/>
          <w:rFonts w:ascii="仿宋" w:hAnsi="仿宋" w:eastAsia="仿宋" w:cs="仿宋_GB2312"/>
          <w:color w:val="000000" w:themeColor="text1"/>
          <w:sz w:val="32"/>
          <w:szCs w:val="32"/>
          <w:shd w:val="clear" w:color="auto" w:fill="FFFFFF"/>
          <w14:textFill>
            <w14:solidFill>
              <w14:schemeClr w14:val="tx1"/>
            </w14:solidFill>
          </w14:textFill>
        </w:rPr>
        <w:t>条</w:t>
      </w:r>
      <w:r>
        <w:rPr>
          <w:rStyle w:val="7"/>
          <w:rFonts w:hint="eastAsia" w:ascii="仿宋" w:hAnsi="仿宋" w:eastAsia="仿宋" w:cs="仿宋_GB2312"/>
          <w:color w:val="000000" w:themeColor="text1"/>
          <w:sz w:val="32"/>
          <w:szCs w:val="32"/>
          <w:shd w:val="clear" w:color="auto" w:fill="FFFFFF"/>
          <w14:textFill>
            <w14:solidFill>
              <w14:schemeClr w14:val="tx1"/>
            </w14:solidFill>
          </w14:textFill>
        </w:rPr>
        <w:t xml:space="preserve">  </w:t>
      </w:r>
      <w:r>
        <w:rPr>
          <w:rFonts w:ascii="仿宋" w:hAnsi="仿宋" w:eastAsia="仿宋" w:cs="仿宋_GB2312"/>
          <w:color w:val="000000" w:themeColor="text1"/>
          <w:sz w:val="32"/>
          <w:szCs w:val="32"/>
          <w:shd w:val="clear" w:color="auto" w:fill="FFFFFF"/>
          <w14:textFill>
            <w14:solidFill>
              <w14:schemeClr w14:val="tx1"/>
            </w14:solidFill>
          </w14:textFill>
        </w:rPr>
        <w:t>本</w:t>
      </w:r>
      <w:r>
        <w:rPr>
          <w:rFonts w:hint="eastAsia" w:ascii="仿宋" w:hAnsi="仿宋" w:eastAsia="仿宋" w:cs="仿宋_GB2312"/>
          <w:color w:val="000000" w:themeColor="text1"/>
          <w:sz w:val="32"/>
          <w:szCs w:val="32"/>
          <w:shd w:val="clear" w:color="auto" w:fill="FFFFFF"/>
          <w14:textFill>
            <w14:solidFill>
              <w14:schemeClr w14:val="tx1"/>
            </w14:solidFill>
          </w14:textFill>
        </w:rPr>
        <w:t>细则</w:t>
      </w:r>
      <w:r>
        <w:rPr>
          <w:rFonts w:ascii="仿宋" w:hAnsi="仿宋" w:eastAsia="仿宋" w:cs="仿宋_GB2312"/>
          <w:color w:val="000000" w:themeColor="text1"/>
          <w:sz w:val="32"/>
          <w:szCs w:val="32"/>
          <w:shd w:val="clear" w:color="auto" w:fill="FFFFFF"/>
          <w14:textFill>
            <w14:solidFill>
              <w14:schemeClr w14:val="tx1"/>
            </w14:solidFill>
          </w14:textFill>
        </w:rPr>
        <w:t>自</w:t>
      </w:r>
      <w:r>
        <w:rPr>
          <w:rFonts w:hint="eastAsia" w:ascii="仿宋" w:hAnsi="仿宋" w:eastAsia="仿宋" w:cs="仿宋_GB2312"/>
          <w:color w:val="000000" w:themeColor="text1"/>
          <w:sz w:val="32"/>
          <w:szCs w:val="32"/>
          <w:shd w:val="clear" w:color="auto" w:fill="FFFFFF"/>
          <w14:textFill>
            <w14:solidFill>
              <w14:schemeClr w14:val="tx1"/>
            </w14:solidFill>
          </w14:textFill>
        </w:rPr>
        <w:t>印发之日</w:t>
      </w:r>
      <w:r>
        <w:rPr>
          <w:rFonts w:ascii="仿宋" w:hAnsi="仿宋" w:eastAsia="仿宋" w:cs="仿宋_GB2312"/>
          <w:color w:val="000000" w:themeColor="text1"/>
          <w:sz w:val="32"/>
          <w:szCs w:val="32"/>
          <w:shd w:val="clear" w:color="auto" w:fill="FFFFFF"/>
          <w14:textFill>
            <w14:solidFill>
              <w14:schemeClr w14:val="tx1"/>
            </w14:solidFill>
          </w14:textFill>
        </w:rPr>
        <w:t>起施行，法律法规和中央金融监管部门对</w:t>
      </w:r>
      <w:r>
        <w:rPr>
          <w:rFonts w:hint="eastAsia" w:ascii="仿宋" w:hAnsi="仿宋" w:eastAsia="仿宋" w:cs="仿宋_GB2312"/>
          <w:color w:val="000000" w:themeColor="text1"/>
          <w:sz w:val="32"/>
          <w:szCs w:val="32"/>
          <w:shd w:val="clear" w:color="auto" w:fill="FFFFFF"/>
          <w14:textFill>
            <w14:solidFill>
              <w14:schemeClr w14:val="tx1"/>
            </w14:solidFill>
          </w14:textFill>
        </w:rPr>
        <w:t>典当行</w:t>
      </w:r>
      <w:r>
        <w:rPr>
          <w:rFonts w:ascii="仿宋" w:hAnsi="仿宋" w:eastAsia="仿宋" w:cs="仿宋_GB2312"/>
          <w:color w:val="000000" w:themeColor="text1"/>
          <w:sz w:val="32"/>
          <w:szCs w:val="32"/>
          <w:shd w:val="clear" w:color="auto" w:fill="FFFFFF"/>
          <w14:textFill>
            <w14:solidFill>
              <w14:schemeClr w14:val="tx1"/>
            </w14:solidFill>
          </w14:textFill>
        </w:rPr>
        <w:t>监督管理另有规定的，从其规定。</w:t>
      </w:r>
    </w:p>
    <w:p>
      <w:pPr>
        <w:adjustRightInd w:val="0"/>
        <w:snapToGrid w:val="0"/>
        <w:spacing w:line="580" w:lineRule="exact"/>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decorative"/>
    <w:pitch w:val="default"/>
    <w:sig w:usb0="00000000" w:usb1="00000000" w:usb2="00000000" w:usb3="00000000" w:csb0="80000000" w:csb1="00000000"/>
  </w:font>
  <w:font w:name="黑体">
    <w:altName w:val="汉仪中黑KW"/>
    <w:panose1 w:val="02010609060101010101"/>
    <w:charset w:val="86"/>
    <w:family w:val="modern"/>
    <w:pitch w:val="default"/>
    <w:sig w:usb0="00000000" w:usb1="00000000" w:usb2="00000016" w:usb3="00000000" w:csb0="00040001" w:csb1="00000000"/>
  </w:font>
  <w:font w:name="DengXian">
    <w:altName w:val="汉仪中等线KW"/>
    <w:panose1 w:val="02010600030101010101"/>
    <w:charset w:val="86"/>
    <w:family w:val="auto"/>
    <w:pitch w:val="default"/>
    <w:sig w:usb0="00000000" w:usb1="00000000" w:usb2="00000016" w:usb3="00000000" w:csb0="0004000F" w:csb1="00000000"/>
  </w:font>
  <w:font w:name="幼圆">
    <w:altName w:val="苹方-简"/>
    <w:panose1 w:val="020B0604020202020204"/>
    <w:charset w:val="86"/>
    <w:family w:val="modern"/>
    <w:pitch w:val="default"/>
    <w:sig w:usb0="00000000" w:usb1="00000000" w:usb2="00000010" w:usb3="00000000" w:csb0="00040000" w:csb1="00000000"/>
  </w:font>
  <w:font w:name="Century Gothic">
    <w:altName w:val="苹方-简"/>
    <w:panose1 w:val="020B050202020202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Courier New">
    <w:panose1 w:val="02070609020205090404"/>
    <w:charset w:val="00"/>
    <w:family w:val="modern"/>
    <w:pitch w:val="default"/>
    <w:sig w:usb0="E0000AFF" w:usb1="40007843" w:usb2="00000001" w:usb3="00000000" w:csb0="400001BF" w:csb1="DFF70000"/>
  </w:font>
  <w:font w:name="ˎ̥">
    <w:altName w:val="苹方-简"/>
    <w:panose1 w:val="020B0604020202020204"/>
    <w:charset w:val="00"/>
    <w:family w:val="roman"/>
    <w:pitch w:val="default"/>
    <w:sig w:usb0="00000000" w:usb1="00000000" w:usb2="00000000" w:usb3="00000000" w:csb0="00040001" w:csb1="00000000"/>
  </w:font>
  <w:font w:name="宋体.....">
    <w:altName w:val="苹方-简"/>
    <w:panose1 w:val="020B0604020202020204"/>
    <w:charset w:val="86"/>
    <w:family w:val="roman"/>
    <w:pitch w:val="default"/>
    <w:sig w:usb0="00000000" w:usb1="00000000" w:usb2="00000010" w:usb3="00000000" w:csb0="00040000" w:csb1="00000000"/>
  </w:font>
  <w:font w:name="仿宋_GB2312">
    <w:altName w:val="方正仿宋_GBK"/>
    <w:panose1 w:val="020B0604020202020204"/>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MingLiU">
    <w:altName w:val="宋体-繁"/>
    <w:panose1 w:val="02020509000000000000"/>
    <w:charset w:val="88"/>
    <w:family w:val="modern"/>
    <w:pitch w:val="default"/>
    <w:sig w:usb0="00000000" w:usb1="00000000" w:usb2="00000016" w:usb3="00000000" w:csb0="00100001" w:csb1="00000000"/>
  </w:font>
  <w:font w:name="宋体 (正文)">
    <w:altName w:val="苹方-简"/>
    <w:panose1 w:val="020B0604020202020204"/>
    <w:charset w:val="86"/>
    <w:family w:val="roman"/>
    <w:pitch w:val="default"/>
    <w:sig w:usb0="00000000" w:usb1="00000000" w:usb2="00000010" w:usb3="00000000" w:csb0="000401FF" w:csb1="00000000"/>
  </w:font>
  <w:font w:name="MS Mincho">
    <w:altName w:val="Hiragino Sans"/>
    <w:panose1 w:val="02020609040205080304"/>
    <w:charset w:val="80"/>
    <w:family w:val="modern"/>
    <w:pitch w:val="default"/>
    <w:sig w:usb0="00000000" w:usb1="00000000" w:usb2="08000012" w:usb3="00000000" w:csb0="0002009F" w:csb1="00000000"/>
  </w:font>
  <w:font w:name="SimSong">
    <w:panose1 w:val="02020300000000000000"/>
    <w:charset w:val="86"/>
    <w:family w:val="roman"/>
    <w:pitch w:val="default"/>
    <w:sig w:usb0="800002BF" w:usb1="38CF7CFA" w:usb2="00000016" w:usb3="00000000" w:csb0="0004000D" w:csb1="00000000"/>
  </w:font>
  <w:font w:name="Times">
    <w:panose1 w:val="00000500000000020000"/>
    <w:charset w:val="00"/>
    <w:family w:val="auto"/>
    <w:pitch w:val="default"/>
    <w:sig w:usb0="E00002FF" w:usb1="5000205A" w:usb2="00000000" w:usb3="00000000" w:csb0="2000019F" w:csb1="4F010000"/>
  </w:font>
  <w:font w:name="Lucida Grande">
    <w:panose1 w:val="020B0600040502020204"/>
    <w:charset w:val="00"/>
    <w:family w:val="swiss"/>
    <w:pitch w:val="default"/>
    <w:sig w:usb0="E1000AEF" w:usb1="5000A1FF" w:usb2="00000000" w:usb3="00000000" w:csb0="200001BF" w:csb1="4F010000"/>
  </w:font>
  <w:font w:name="微软雅黑">
    <w:altName w:val="汉仪旗黑"/>
    <w:panose1 w:val="020B0503020204020204"/>
    <w:charset w:val="86"/>
    <w:family w:val="swiss"/>
    <w:pitch w:val="default"/>
    <w:sig w:usb0="00000000" w:usb1="00000000" w:usb2="00000016" w:usb3="00000000" w:csb0="0004001F" w:csb1="00000000"/>
  </w:font>
  <w:font w:name="Segoe UI">
    <w:altName w:val="苹方-简"/>
    <w:panose1 w:val="020B0604020202020204"/>
    <w:charset w:val="00"/>
    <w:family w:val="swiss"/>
    <w:pitch w:val="default"/>
    <w:sig w:usb0="00000000" w:usb1="00000000" w:usb2="00000009" w:usb3="00000000" w:csb0="000001FF" w:csb1="00000000"/>
  </w:font>
  <w:font w:name="Wingdings 2">
    <w:panose1 w:val="05020102010507070707"/>
    <w:charset w:val="02"/>
    <w:family w:val="decorative"/>
    <w:pitch w:val="default"/>
    <w:sig w:usb0="00000000" w:usb1="00000000" w:usb2="00000000" w:usb3="00000000" w:csb0="80000000" w:csb1="00000000"/>
  </w:font>
  <w:font w:name="Cambria Math">
    <w:altName w:val="Kingsoft Math"/>
    <w:panose1 w:val="02040503050406030204"/>
    <w:charset w:val="00"/>
    <w:family w:val="roman"/>
    <w:pitch w:val="default"/>
    <w:sig w:usb0="00000000" w:usb1="00000000" w:usb2="00000000" w:usb3="00000000" w:csb0="0000019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宋体-繁">
    <w:panose1 w:val="02010600040101010101"/>
    <w:charset w:val="86"/>
    <w:family w:val="auto"/>
    <w:pitch w:val="default"/>
    <w:sig w:usb0="00000287" w:usb1="080F0000" w:usb2="00000000" w:usb3="00000000" w:csb0="0004009F" w:csb1="DFD70000"/>
  </w:font>
  <w:font w:name="Hiragino Sans">
    <w:panose1 w:val="020B0300000000000000"/>
    <w:charset w:val="80"/>
    <w:family w:val="auto"/>
    <w:pitch w:val="default"/>
    <w:sig w:usb0="E00002FF" w:usb1="7AE7FFFF" w:usb2="00000012" w:usb3="00000000" w:csb0="0002000D" w:csb1="00000000"/>
  </w:font>
  <w:font w:name="汉仪旗黑">
    <w:panose1 w:val="00020600040101010101"/>
    <w:charset w:val="86"/>
    <w:family w:val="auto"/>
    <w:pitch w:val="default"/>
    <w:sig w:usb0="A00002BF" w:usb1="1ACF7CFA" w:usb2="00000016" w:usb3="00000000" w:csb0="0004009F" w:csb1="DFD70000"/>
  </w:font>
  <w:font w:name="Kingsoft Math">
    <w:panose1 w:val="02040503050406030204"/>
    <w:charset w:val="00"/>
    <w:family w:val="auto"/>
    <w:pitch w:val="default"/>
    <w:sig w:usb0="80000087" w:usb1="00002068" w:usb2="00000000" w:usb3="00000000" w:csb0="2000019F"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华文楷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Wingdings">
    <w:panose1 w:val="05000000000000000000"/>
    <w:charset w:val="00"/>
    <w:family w:val="decorative"/>
    <w:pitch w:val="default"/>
    <w:sig w:usb0="00000000" w:usb1="00000000" w:usb2="00000000" w:usb3="00000000" w:csb0="80000000" w:csb1="00000000"/>
  </w:font>
  <w:font w:name="黑体">
    <w:altName w:val="汉仪中黑KW"/>
    <w:panose1 w:val="02010609060101010101"/>
    <w:charset w:val="00"/>
    <w:family w:val="modern"/>
    <w:pitch w:val="default"/>
    <w:sig w:usb0="00000000" w:usb1="00000000" w:usb2="00000016" w:usb3="00000000" w:csb0="00040001" w:csb1="00000000"/>
  </w:font>
  <w:font w:name="宋体 (正文)">
    <w:altName w:val="苹方-简"/>
    <w:panose1 w:val="020B0604020202020204"/>
    <w:charset w:val="00"/>
    <w:family w:val="roman"/>
    <w:pitch w:val="default"/>
    <w:sig w:usb0="00000000" w:usb1="00000000" w:usb2="00000010" w:usb3="00000000" w:csb0="000401FF" w:csb1="00000000"/>
  </w:font>
  <w:font w:name="仿宋_GB2312">
    <w:altName w:val="方正仿宋_GBK"/>
    <w:panose1 w:val="020B0604020202020204"/>
    <w:charset w:val="00"/>
    <w:family w:val="modern"/>
    <w:pitch w:val="default"/>
    <w:sig w:usb0="00000000" w:usb1="00000000" w:usb2="00000010" w:usb3="00000000" w:csb0="00040000" w:csb1="00000000"/>
  </w:font>
  <w:font w:name="宋体.....">
    <w:altName w:val="苹方-简"/>
    <w:panose1 w:val="020B0604020202020204"/>
    <w:charset w:val="00"/>
    <w:family w:val="roman"/>
    <w:pitch w:val="default"/>
    <w:sig w:usb0="00000000" w:usb1="00000000" w:usb2="00000010" w:usb3="00000000" w:csb0="00040000" w:csb1="00000000"/>
  </w:font>
  <w:font w:name="幼圆">
    <w:altName w:val="苹方-简"/>
    <w:panose1 w:val="020B0604020202020204"/>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MingLiU">
    <w:altName w:val="宋体-繁"/>
    <w:panose1 w:val="02020509000000000000"/>
    <w:charset w:val="00"/>
    <w:family w:val="modern"/>
    <w:pitch w:val="default"/>
    <w:sig w:usb0="00000000" w:usb1="00000000" w:usb2="00000016" w:usb3="00000000" w:csb0="00100001" w:csb1="00000000"/>
  </w:font>
  <w:font w:name="MS Mincho">
    <w:altName w:val="Hiragino Sans"/>
    <w:panose1 w:val="02020609040205080304"/>
    <w:charset w:val="00"/>
    <w:family w:val="modern"/>
    <w:pitch w:val="default"/>
    <w:sig w:usb0="00000000" w:usb1="00000000" w:usb2="08000012" w:usb3="00000000" w:csb0="0002009F" w:csb1="00000000"/>
  </w:font>
  <w:font w:name="微软雅黑">
    <w:altName w:val="汉仪旗黑"/>
    <w:panose1 w:val="020B0503020204020204"/>
    <w:charset w:val="00"/>
    <w:family w:val="swiss"/>
    <w:pitch w:val="default"/>
    <w:sig w:usb0="00000000" w:usb1="00000000" w:usb2="00000016" w:usb3="00000000" w:csb0="0004001F" w:csb1="00000000"/>
  </w:font>
  <w:font w:name="Wingdings 2">
    <w:panose1 w:val="05020102010507070707"/>
    <w:charset w:val="00"/>
    <w:family w:val="decorative"/>
    <w:pitch w:val="default"/>
    <w:sig w:usb0="00000000" w:usb1="00000000" w:usb2="00000000" w:usb3="00000000" w:csb0="80000000" w:csb1="00000000"/>
  </w:font>
  <w:font w:name="TimesNewRoman">
    <w:altName w:val="苹方-简"/>
    <w:panose1 w:val="020B0604020202020204"/>
    <w:charset w:val="00"/>
    <w:family w:val="auto"/>
    <w:pitch w:val="default"/>
    <w:sig w:usb0="00000000" w:usb1="00000000" w:usb2="00000029" w:usb3="00000000" w:csb0="600001FF" w:csb1="FFFF0000"/>
  </w:font>
  <w:font w:name="黑体-简">
    <w:panose1 w:val="02000000000000000000"/>
    <w:charset w:val="86"/>
    <w:family w:val="auto"/>
    <w:pitch w:val="default"/>
    <w:sig w:usb0="8000002F" w:usb1="0800004A" w:usb2="00000000" w:usb3="00000000" w:csb0="203E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2000609000000000000"/>
    <w:charset w:val="02"/>
    <w:family w:val="roman"/>
    <w:pitch w:val="default"/>
    <w:sig w:usb0="00000000" w:usb1="00000000" w:usb2="00000000" w:usb3="00000000" w:csb0="20000000" w:csb1="00000000"/>
  </w:font>
  <w:font w:name="方正小标宋_GBK">
    <w:altName w:val="冬青黑体简体中文"/>
    <w:panose1 w:val="02000000000000000000"/>
    <w:charset w:val="86"/>
    <w:family w:val="auto"/>
    <w:pitch w:val="default"/>
    <w:sig w:usb0="00000000" w:usb1="00000000" w:usb2="00000000" w:usb3="00000000" w:csb0="00040000" w:csb1="00000000"/>
  </w:font>
  <w:font w:name="CESI楷体-GB2312">
    <w:altName w:val="华文宋体"/>
    <w:panose1 w:val="02000500000000000000"/>
    <w:charset w:val="86"/>
    <w:family w:val="auto"/>
    <w:pitch w:val="default"/>
    <w:sig w:usb0="00000000" w:usb1="00000000" w:usb2="00000012" w:usb3="00000000" w:csb0="0004000F" w:csb1="00000000"/>
  </w:font>
  <w:font w:name="sans-serif">
    <w:altName w:val="苹方-简"/>
    <w:panose1 w:val="00000000000000000000"/>
    <w:charset w:val="00"/>
    <w:family w:val="auto"/>
    <w:pitch w:val="default"/>
    <w:sig w:usb0="00000000" w:usb1="00000000" w:usb2="00000000" w:usb3="00000000" w:csb0="00040001" w:csb1="00000000"/>
  </w:font>
  <w:font w:name="方正黑体_GBK">
    <w:altName w:val="冬青黑体简体中文"/>
    <w:panose1 w:val="02000000000000000000"/>
    <w:charset w:val="86"/>
    <w:family w:val="auto"/>
    <w:pitch w:val="default"/>
    <w:sig w:usb0="00000000" w:usb1="00000000" w:usb2="00000000" w:usb3="00000000" w:csb0="00040000" w:csb1="00000000"/>
  </w:font>
  <w:font w:name="方正宋体S-超大字符集">
    <w:altName w:val="冬青黑体简体中文"/>
    <w:panose1 w:val="02000000000000000000"/>
    <w:charset w:val="86"/>
    <w:family w:val="auto"/>
    <w:pitch w:val="default"/>
    <w:sig w:usb0="00000000" w:usb1="00000000" w:usb2="00000000" w:usb3="00000000" w:csb0="00040000" w:csb1="00000000"/>
  </w:font>
  <w:font w:name="文泉驿微米黑">
    <w:altName w:val="华文黑体"/>
    <w:panose1 w:val="020B0606030804020204"/>
    <w:charset w:val="86"/>
    <w:family w:val="auto"/>
    <w:pitch w:val="default"/>
    <w:sig w:usb0="00000000" w:usb1="00000000" w:usb2="00800036" w:usb3="00000000" w:csb0="603E019F" w:csb1="DFD70000"/>
  </w:font>
  <w:font w:name="儷宋 Pro">
    <w:panose1 w:val="02020300000000000000"/>
    <w:charset w:val="88"/>
    <w:family w:val="auto"/>
    <w:pitch w:val="default"/>
    <w:sig w:usb0="80000001" w:usb1="28091800" w:usb2="00000016" w:usb3="00000000" w:csb0="00100000" w:csb1="00000000"/>
  </w:font>
  <w:font w:name="Kingsoft Sign">
    <w:panose1 w:val="05050102010706020507"/>
    <w:charset w:val="00"/>
    <w:family w:val="auto"/>
    <w:pitch w:val="default"/>
    <w:sig w:usb0="00000000" w:usb1="10000000" w:usb2="00000000" w:usb3="00000000" w:csb0="00000001" w:csb1="00000000"/>
  </w:font>
  <w:font w:name="华文黑体">
    <w:panose1 w:val="02010600040101010101"/>
    <w:charset w:val="86"/>
    <w:family w:val="auto"/>
    <w:pitch w:val="default"/>
    <w:sig w:usb0="00000287"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M6pebnPAAAABQEAAA8AAAAAAAAAAQAgAAAAOAAAAGRycy9k&#10;b3ducmV2LnhtbFBLAQIUABQAAAAIAIdO4kAW1I/QvAEAAGQDAAAOAAAAAAAAAAEAIAAAADQBAABk&#10;cnMvZTJvRG9jLnhtbFBLBQYAAAAABgAGAFkBAABi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5D"/>
    <w:rsid w:val="00050E68"/>
    <w:rsid w:val="00205C7B"/>
    <w:rsid w:val="0028253A"/>
    <w:rsid w:val="00484C20"/>
    <w:rsid w:val="005326F2"/>
    <w:rsid w:val="0054598A"/>
    <w:rsid w:val="005A71A8"/>
    <w:rsid w:val="005C04AE"/>
    <w:rsid w:val="00890356"/>
    <w:rsid w:val="0096713B"/>
    <w:rsid w:val="00A15F8A"/>
    <w:rsid w:val="00A45E5D"/>
    <w:rsid w:val="00AF751A"/>
    <w:rsid w:val="00B50A49"/>
    <w:rsid w:val="00B93ED1"/>
    <w:rsid w:val="00C12E9D"/>
    <w:rsid w:val="00C618AA"/>
    <w:rsid w:val="00C93485"/>
    <w:rsid w:val="2D5FEFA5"/>
    <w:rsid w:val="2FF1F3D1"/>
    <w:rsid w:val="2FFF4914"/>
    <w:rsid w:val="397F815E"/>
    <w:rsid w:val="3DFFA580"/>
    <w:rsid w:val="3EAB0813"/>
    <w:rsid w:val="3F6B8B76"/>
    <w:rsid w:val="46FFB90F"/>
    <w:rsid w:val="535BFE5E"/>
    <w:rsid w:val="53FE8028"/>
    <w:rsid w:val="6ECD38E6"/>
    <w:rsid w:val="6F7FFEF8"/>
    <w:rsid w:val="71FF0490"/>
    <w:rsid w:val="77AFAF9E"/>
    <w:rsid w:val="77BFBD29"/>
    <w:rsid w:val="7BBB9FB2"/>
    <w:rsid w:val="7D9B37C7"/>
    <w:rsid w:val="7E6D0FD5"/>
    <w:rsid w:val="7EBD7970"/>
    <w:rsid w:val="7F6A45A0"/>
    <w:rsid w:val="7F7F2190"/>
    <w:rsid w:val="7FBF2581"/>
    <w:rsid w:val="975B5CCB"/>
    <w:rsid w:val="99FEA1D0"/>
    <w:rsid w:val="B7FF720D"/>
    <w:rsid w:val="D6FA6ACB"/>
    <w:rsid w:val="D79B29B2"/>
    <w:rsid w:val="DE4CE257"/>
    <w:rsid w:val="DFF7DCE7"/>
    <w:rsid w:val="E8777D07"/>
    <w:rsid w:val="F59B68E3"/>
    <w:rsid w:val="F5F65235"/>
    <w:rsid w:val="FBEF0501"/>
    <w:rsid w:val="FF4338DF"/>
    <w:rsid w:val="FF7F086B"/>
    <w:rsid w:val="FFF6F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仿宋_GB2312"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0"/>
    <w:rPr>
      <w:b/>
    </w:rPr>
  </w:style>
  <w:style w:type="paragraph" w:customStyle="1" w:styleId="9">
    <w:name w:val="修订1"/>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1334</Words>
  <Characters>7604</Characters>
  <Lines>63</Lines>
  <Paragraphs>17</Paragraphs>
  <TotalTime>0</TotalTime>
  <ScaleCrop>false</ScaleCrop>
  <LinksUpToDate>false</LinksUpToDate>
  <CharactersWithSpaces>8921</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yangxue</cp:lastModifiedBy>
  <cp:lastPrinted>2022-10-22T07:22:00Z</cp:lastPrinted>
  <dcterms:modified xsi:type="dcterms:W3CDTF">2022-10-21T19:15:54Z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