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  <w:t>典当行年审重点监管事项汇总表</w:t>
      </w:r>
      <w:bookmarkEnd w:id="0"/>
    </w:p>
    <w:p>
      <w:pPr>
        <w:jc w:val="both"/>
        <w:rPr>
          <w:rFonts w:hint="default" w:ascii="方正仿宋_GBK" w:hAnsi="方正仿宋_GBK" w:eastAsia="方正仿宋_GBK" w:cs="方正仿宋_GBK"/>
          <w:sz w:val="18"/>
          <w:szCs w:val="1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18"/>
          <w:szCs w:val="18"/>
          <w:vertAlign w:val="baseline"/>
          <w:lang w:val="en-US" w:eastAsia="zh-CN"/>
        </w:rPr>
        <w:t xml:space="preserve">填报单位（盖章）：                                                填报时间：   年   月   日                                          单位：户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784"/>
        <w:gridCol w:w="520"/>
        <w:gridCol w:w="456"/>
        <w:gridCol w:w="472"/>
        <w:gridCol w:w="593"/>
        <w:gridCol w:w="591"/>
        <w:gridCol w:w="680"/>
        <w:gridCol w:w="801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  <w:gridCol w:w="518"/>
        <w:gridCol w:w="518"/>
        <w:gridCol w:w="518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地区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典当行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数量</w:t>
            </w:r>
          </w:p>
        </w:tc>
        <w:tc>
          <w:tcPr>
            <w:tcW w:w="204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经营情况</w:t>
            </w:r>
          </w:p>
        </w:tc>
        <w:tc>
          <w:tcPr>
            <w:tcW w:w="9836" w:type="dxa"/>
            <w:gridSpan w:val="19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违法违规情况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792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经营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失联</w:t>
            </w: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空壳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拟注销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涉嫌</w:t>
            </w: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虚假出资、抽逃资金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非法</w:t>
            </w: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集资、吸收或者变相吸收存</w:t>
            </w:r>
            <w:r>
              <w:rPr>
                <w:rFonts w:hint="eastAsia" w:ascii="宋体" w:hAnsi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款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股东、法定代表人等存在涉黑涉恶或涉及重大诉讼案件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擅自变更登记事 项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从商业银行以外的单位或个人借款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对外投</w:t>
            </w:r>
            <w:r>
              <w:rPr>
                <w:rFonts w:hint="eastAsia" w:ascii="宋体" w:hAnsi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资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发放信用贷</w:t>
            </w:r>
            <w:r>
              <w:rPr>
                <w:rFonts w:hint="eastAsia" w:ascii="宋体" w:hAnsi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款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超比例发放当金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超范围经营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存在当金利息预扣情</w:t>
            </w:r>
            <w:r>
              <w:rPr>
                <w:rFonts w:hint="eastAsia" w:ascii="宋体" w:hAnsi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况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利息及综合费率收取超规</w:t>
            </w:r>
            <w:r>
              <w:rPr>
                <w:rFonts w:hint="eastAsia" w:ascii="宋体" w:hAnsi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定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当票使用违反相关规 定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违规处理绝当物 品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擅自设立分支机 构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未按要求报送日常经营数据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内部管理制度不健全，执行不到位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存阻碍、拒绝年审或日常监管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13"/>
                <w:szCs w:val="13"/>
                <w:vertAlign w:val="baseline"/>
                <w:lang w:val="en-US" w:eastAsia="zh-CN"/>
              </w:rPr>
              <w:t>被其他部门行政惩戒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792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792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792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合计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13"/>
                <w:szCs w:val="13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sz w:val="18"/>
          <w:szCs w:val="18"/>
          <w:vertAlign w:val="baseline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18"/>
          <w:szCs w:val="1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18"/>
          <w:szCs w:val="18"/>
          <w:vertAlign w:val="baseline"/>
          <w:lang w:val="en-US" w:eastAsia="zh-CN"/>
        </w:rPr>
        <w:t>注：该表由市（州）地方金融工作局汇总填报。</w:t>
      </w:r>
    </w:p>
    <w:p>
      <w:pPr>
        <w:jc w:val="both"/>
        <w:rPr>
          <w:rFonts w:hint="eastAsia" w:ascii="方正仿宋_GBK" w:hAnsi="方正仿宋_GBK" w:eastAsia="方正仿宋_GBK" w:cs="方正仿宋_GBK"/>
          <w:sz w:val="18"/>
          <w:szCs w:val="18"/>
          <w:vertAlign w:val="baseline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65FF6"/>
    <w:rsid w:val="13F6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2021-03-30T03:08:00Z</dcterms:created>
  <dc:creator>天水</dc:creator>
  <cp:lastModifiedBy>天水</cp:lastModifiedBy>
  <dcterms:modified xsi:type="dcterms:W3CDTF">2021-03-30T03:09:46Z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485323769_btnclosed</vt:lpwstr>
  </property>
</Properties>
</file>